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rPr>
      </w:pPr>
      <w:bookmarkStart w:id="0" w:name="_Toc102813319"/>
      <w:bookmarkStart w:id="1" w:name="_Toc85209825"/>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楷体" w:hAnsi="楷体" w:eastAsia="楷体" w:cs="楷体"/>
          <w:b w:val="0"/>
          <w:bCs/>
          <w:sz w:val="44"/>
          <w:szCs w:val="44"/>
        </w:rPr>
      </w:pPr>
      <w:r>
        <w:rPr>
          <w:rFonts w:hint="eastAsia" w:ascii="楷体" w:hAnsi="楷体" w:eastAsia="楷体" w:cs="楷体"/>
          <w:b w:val="0"/>
          <w:bCs/>
          <w:sz w:val="44"/>
          <w:szCs w:val="44"/>
        </w:rPr>
        <w:t>中华人民共和国海事局</w:t>
      </w:r>
    </w:p>
    <w:p>
      <w:pPr>
        <w:jc w:val="cente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b/>
          <w:sz w:val="52"/>
          <w:szCs w:val="52"/>
        </w:rPr>
      </w:pPr>
      <w:r>
        <w:rPr>
          <w:rFonts w:hint="eastAsia" w:ascii="宋体" w:hAnsi="宋体"/>
          <w:b/>
          <w:sz w:val="52"/>
          <w:szCs w:val="52"/>
        </w:rPr>
        <w:t>船舶与海上设施法定检验技术规则</w:t>
      </w:r>
    </w:p>
    <w:p>
      <w:pPr>
        <w:jc w:val="center"/>
        <w:rPr>
          <w:rFonts w:hint="eastAsia" w:ascii="宋体" w:hAnsi="宋体"/>
        </w:rPr>
      </w:pPr>
    </w:p>
    <w:p>
      <w:pPr>
        <w:jc w:val="center"/>
        <w:rPr>
          <w:rFonts w:hint="eastAsia" w:ascii="宋体" w:hAnsi="宋体" w:eastAsia="宋体" w:cs="宋体"/>
          <w:sz w:val="44"/>
          <w:szCs w:val="44"/>
        </w:rPr>
      </w:pPr>
      <w:r>
        <w:rPr>
          <w:rFonts w:hint="eastAsia" w:ascii="宋体" w:hAnsi="宋体" w:eastAsia="宋体" w:cs="宋体"/>
          <w:sz w:val="44"/>
          <w:szCs w:val="44"/>
        </w:rPr>
        <w:t>国际航行海船法定检验技术规则</w:t>
      </w:r>
    </w:p>
    <w:p>
      <w:pPr>
        <w:jc w:val="center"/>
        <w:rPr>
          <w:rFonts w:hint="eastAsia" w:ascii="宋体" w:hAnsi="宋体" w:eastAsia="宋体" w:cs="宋体"/>
          <w:sz w:val="21"/>
          <w:szCs w:val="21"/>
        </w:rPr>
      </w:pPr>
    </w:p>
    <w:p>
      <w:pPr>
        <w:jc w:val="center"/>
        <w:rPr>
          <w:rFonts w:hint="eastAsia" w:ascii="宋体" w:hAnsi="宋体" w:eastAsia="宋体" w:cs="宋体"/>
          <w:b/>
          <w:bCs/>
          <w:sz w:val="44"/>
          <w:szCs w:val="44"/>
        </w:rPr>
      </w:pPr>
      <w:r>
        <w:rPr>
          <w:rFonts w:hint="eastAsia" w:ascii="宋体" w:hAnsi="宋体" w:eastAsia="宋体" w:cs="宋体"/>
          <w:b/>
          <w:bCs/>
          <w:sz w:val="44"/>
          <w:szCs w:val="44"/>
        </w:rPr>
        <w:t>2022年修改通报</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b/>
          <w:sz w:val="32"/>
          <w:szCs w:val="32"/>
        </w:rPr>
      </w:pPr>
      <w:r>
        <w:rPr>
          <w:rFonts w:hint="eastAsia" w:ascii="宋体" w:hAnsi="宋体" w:eastAsia="宋体" w:cs="宋体"/>
          <w:b/>
          <w:sz w:val="32"/>
          <w:szCs w:val="32"/>
        </w:rPr>
        <w:t>附</w:t>
      </w:r>
      <w:r>
        <w:rPr>
          <w:rFonts w:hint="eastAsia" w:ascii="宋体" w:hAnsi="宋体" w:cs="宋体"/>
          <w:b/>
          <w:sz w:val="32"/>
          <w:szCs w:val="32"/>
          <w:lang w:val="en-US" w:eastAsia="zh-CN"/>
        </w:rPr>
        <w:t xml:space="preserve">   </w:t>
      </w:r>
      <w:r>
        <w:rPr>
          <w:rFonts w:hint="eastAsia" w:ascii="宋体" w:hAnsi="宋体" w:eastAsia="宋体" w:cs="宋体"/>
          <w:b/>
          <w:sz w:val="32"/>
          <w:szCs w:val="32"/>
        </w:rPr>
        <w:t>则</w:t>
      </w:r>
    </w:p>
    <w:p>
      <w:pPr>
        <w:spacing w:line="460" w:lineRule="exact"/>
        <w:jc w:val="center"/>
        <w:rPr>
          <w:rFonts w:hint="eastAsia" w:ascii="宋体" w:hAnsi="宋体"/>
          <w:b/>
          <w:sz w:val="21"/>
          <w:szCs w:val="21"/>
        </w:rPr>
      </w:pPr>
    </w:p>
    <w:p>
      <w:pPr>
        <w:adjustRightInd w:val="0"/>
        <w:snapToGrid w:val="0"/>
        <w:spacing w:line="460" w:lineRule="exact"/>
        <w:jc w:val="center"/>
        <w:outlineLvl w:val="0"/>
        <w:rPr>
          <w:rFonts w:hint="eastAsia" w:ascii="宋体" w:hAnsi="宋体" w:eastAsia="宋体" w:cs="宋体"/>
          <w:b/>
          <w:spacing w:val="-6"/>
          <w:sz w:val="32"/>
          <w:szCs w:val="32"/>
        </w:rPr>
      </w:pPr>
      <w:r>
        <w:rPr>
          <w:rFonts w:hint="eastAsia" w:ascii="宋体" w:hAnsi="宋体" w:eastAsia="宋体" w:cs="宋体"/>
          <w:b/>
          <w:spacing w:val="-6"/>
          <w:sz w:val="32"/>
          <w:szCs w:val="32"/>
        </w:rPr>
        <w:t>附则</w:t>
      </w:r>
      <w:r>
        <w:rPr>
          <w:rFonts w:hint="eastAsia" w:ascii="宋体" w:hAnsi="宋体" w:eastAsia="宋体" w:cs="宋体"/>
          <w:b/>
          <w:spacing w:val="-6"/>
          <w:sz w:val="32"/>
          <w:szCs w:val="32"/>
          <w:lang w:val="en-US" w:eastAsia="zh-CN"/>
        </w:rPr>
        <w:t>2</w:t>
      </w:r>
      <w:r>
        <w:rPr>
          <w:rFonts w:hint="eastAsia" w:ascii="宋体" w:hAnsi="宋体" w:eastAsia="宋体" w:cs="宋体"/>
          <w:b/>
          <w:spacing w:val="-6"/>
          <w:sz w:val="32"/>
          <w:szCs w:val="32"/>
        </w:rPr>
        <w:t xml:space="preserve">  </w:t>
      </w:r>
      <w:bookmarkEnd w:id="0"/>
      <w:bookmarkEnd w:id="1"/>
      <w:r>
        <w:rPr>
          <w:rFonts w:hint="eastAsia" w:ascii="宋体" w:hAnsi="宋体" w:eastAsia="宋体" w:cs="宋体"/>
          <w:b/>
          <w:sz w:val="32"/>
          <w:szCs w:val="32"/>
        </w:rPr>
        <w:t>2000年国际高速船安全规则</w:t>
      </w:r>
    </w:p>
    <w:p>
      <w:pPr>
        <w:jc w:val="center"/>
        <w:rPr>
          <w:rFonts w:hint="eastAsia" w:ascii="宋体" w:hAnsi="宋体" w:eastAsia="宋体" w:cs="宋体"/>
          <w:sz w:val="44"/>
          <w:szCs w:val="44"/>
        </w:rPr>
      </w:pPr>
      <w:r>
        <w:rPr>
          <w:rFonts w:hint="eastAsia" w:ascii="宋体" w:hAnsi="宋体" w:eastAsia="宋体" w:cs="宋体"/>
          <w:b w:val="0"/>
          <w:bCs/>
          <w:sz w:val="32"/>
          <w:szCs w:val="32"/>
          <w:lang w:eastAsia="zh-CN"/>
        </w:rPr>
        <w:t>（征求意见稿）</w:t>
      </w:r>
    </w:p>
    <w:p>
      <w:pPr>
        <w:pStyle w:val="20"/>
        <w:jc w:val="center"/>
        <w:rPr>
          <w:rFonts w:ascii="Calibri" w:hAnsi="Calibri" w:eastAsia="宋体" w:cs="Times New Roman"/>
          <w:b w:val="0"/>
          <w:bCs w:val="0"/>
          <w:color w:val="auto"/>
          <w:kern w:val="2"/>
          <w:sz w:val="21"/>
          <w:szCs w:val="24"/>
          <w:lang w:val="zh-CN"/>
        </w:rPr>
      </w:pPr>
    </w:p>
    <w:p>
      <w:pPr>
        <w:pStyle w:val="20"/>
        <w:jc w:val="center"/>
        <w:rPr>
          <w:lang w:val="zh-CN"/>
        </w:rPr>
        <w:sectPr>
          <w:footnotePr>
            <w:numFmt w:val="decimalEnclosedCircleChinese"/>
          </w:footnotePr>
          <w:pgSz w:w="11906" w:h="16838"/>
          <w:pgMar w:top="1440" w:right="1800" w:bottom="1440" w:left="1800" w:header="851" w:footer="992" w:gutter="0"/>
          <w:pgNumType w:fmt="upperRoman"/>
          <w:cols w:space="425" w:num="1"/>
          <w:docGrid w:type="lines" w:linePitch="312" w:charSpace="0"/>
        </w:sectPr>
      </w:pPr>
      <w:bookmarkStart w:id="11" w:name="_GoBack"/>
      <w:bookmarkEnd w:id="11"/>
    </w:p>
    <w:p>
      <w:pPr>
        <w:pStyle w:val="20"/>
        <w:jc w:val="center"/>
        <w:rPr>
          <w:rFonts w:hint="eastAsia" w:ascii="黑体" w:hAnsi="黑体" w:eastAsia="黑体" w:cs="黑体"/>
          <w:color w:val="auto"/>
          <w:sz w:val="32"/>
          <w:szCs w:val="32"/>
        </w:rPr>
      </w:pPr>
      <w:r>
        <w:rPr>
          <w:rFonts w:hint="eastAsia" w:ascii="黑体" w:hAnsi="黑体" w:eastAsia="黑体" w:cs="黑体"/>
          <w:color w:val="auto"/>
          <w:sz w:val="32"/>
          <w:szCs w:val="32"/>
          <w:lang w:val="zh-CN"/>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val="zh-CN"/>
        </w:rPr>
        <w:t>录</w:t>
      </w:r>
    </w:p>
    <w:p>
      <w:pPr>
        <w:pStyle w:val="11"/>
        <w:tabs>
          <w:tab w:val="right" w:leader="dot" w:pos="8296"/>
        </w:tabs>
      </w:pPr>
    </w:p>
    <w:p>
      <w:pPr>
        <w:pStyle w:val="11"/>
        <w:tabs>
          <w:tab w:val="right" w:leader="dot" w:pos="8296"/>
        </w:tabs>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"_Toc101878652" </w:instrText>
      </w:r>
      <w:r>
        <w:fldChar w:fldCharType="separate"/>
      </w:r>
      <w:r>
        <w:rPr>
          <w:rStyle w:val="14"/>
          <w:rFonts w:hint="eastAsia"/>
        </w:rPr>
        <w:t>说</w:t>
      </w:r>
      <w:r>
        <w:rPr>
          <w:rStyle w:val="14"/>
        </w:rPr>
        <w:t xml:space="preserve">   </w:t>
      </w:r>
      <w:r>
        <w:rPr>
          <w:rStyle w:val="14"/>
          <w:rFonts w:hint="eastAsia"/>
        </w:rPr>
        <w:t>明</w:t>
      </w:r>
      <w:r>
        <w:tab/>
      </w:r>
      <w:r>
        <w:fldChar w:fldCharType="begin"/>
      </w:r>
      <w:r>
        <w:instrText xml:space="preserve"> PAGEREF _Toc101878652 \h </w:instrText>
      </w:r>
      <w:r>
        <w:fldChar w:fldCharType="separate"/>
      </w:r>
      <w:r>
        <w:t>4</w:t>
      </w:r>
      <w:r>
        <w:fldChar w:fldCharType="end"/>
      </w:r>
      <w:r>
        <w:fldChar w:fldCharType="end"/>
      </w:r>
    </w:p>
    <w:p>
      <w:pPr>
        <w:pStyle w:val="11"/>
        <w:tabs>
          <w:tab w:val="right" w:leader="dot" w:pos="8296"/>
        </w:tabs>
        <w:rPr>
          <w:rFonts w:asciiTheme="minorHAnsi" w:hAnsiTheme="minorHAnsi" w:eastAsiaTheme="minorEastAsia" w:cstheme="minorBidi"/>
          <w:szCs w:val="22"/>
        </w:rPr>
      </w:pPr>
      <w:r>
        <w:fldChar w:fldCharType="begin"/>
      </w:r>
      <w:r>
        <w:instrText xml:space="preserve"> HYPERLINK \l "_Toc101878653" </w:instrText>
      </w:r>
      <w:r>
        <w:fldChar w:fldCharType="separate"/>
      </w:r>
      <w:r>
        <w:rPr>
          <w:rStyle w:val="14"/>
          <w:rFonts w:hint="eastAsia"/>
        </w:rPr>
        <w:t>第</w:t>
      </w:r>
      <w:r>
        <w:rPr>
          <w:rStyle w:val="14"/>
        </w:rPr>
        <w:t>14</w:t>
      </w:r>
      <w:r>
        <w:rPr>
          <w:rStyle w:val="14"/>
          <w:rFonts w:hint="eastAsia"/>
        </w:rPr>
        <w:t>章</w:t>
      </w:r>
      <w:r>
        <w:rPr>
          <w:rStyle w:val="14"/>
        </w:rPr>
        <w:t xml:space="preserve">  </w:t>
      </w:r>
      <w:r>
        <w:rPr>
          <w:rStyle w:val="14"/>
          <w:rFonts w:hint="eastAsia"/>
        </w:rPr>
        <w:t>无线电通信</w:t>
      </w:r>
      <w:r>
        <w:tab/>
      </w:r>
      <w:r>
        <w:fldChar w:fldCharType="begin"/>
      </w:r>
      <w:r>
        <w:instrText xml:space="preserve"> PAGEREF _Toc101878653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"_Toc101878654" </w:instrText>
      </w:r>
      <w:r>
        <w:fldChar w:fldCharType="separate"/>
      </w:r>
      <w:r>
        <w:rPr>
          <w:rStyle w:val="14"/>
        </w:rPr>
        <w:t xml:space="preserve">14.2  </w:t>
      </w:r>
      <w:r>
        <w:rPr>
          <w:rStyle w:val="14"/>
          <w:rFonts w:hint="eastAsia"/>
        </w:rPr>
        <w:t>术语与定义</w:t>
      </w:r>
      <w:r>
        <w:tab/>
      </w:r>
      <w:r>
        <w:fldChar w:fldCharType="begin"/>
      </w:r>
      <w:r>
        <w:instrText xml:space="preserve"> PAGEREF _Toc101878654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"_Toc101878655" </w:instrText>
      </w:r>
      <w:r>
        <w:fldChar w:fldCharType="separate"/>
      </w:r>
      <w:r>
        <w:rPr>
          <w:rStyle w:val="14"/>
        </w:rPr>
        <w:t xml:space="preserve">14.7  </w:t>
      </w:r>
      <w:r>
        <w:rPr>
          <w:rStyle w:val="14"/>
          <w:rFonts w:hint="eastAsia"/>
        </w:rPr>
        <w:t>无线电设备：一般要求</w:t>
      </w:r>
      <w:r>
        <w:tab/>
      </w:r>
      <w:r>
        <w:fldChar w:fldCharType="begin"/>
      </w:r>
      <w:r>
        <w:instrText xml:space="preserve"> PAGEREF _Toc101878655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"_Toc101878656" </w:instrText>
      </w:r>
      <w:r>
        <w:fldChar w:fldCharType="separate"/>
      </w:r>
      <w:r>
        <w:rPr>
          <w:rStyle w:val="14"/>
        </w:rPr>
        <w:t xml:space="preserve">14.8  </w:t>
      </w:r>
      <w:r>
        <w:rPr>
          <w:rStyle w:val="14"/>
          <w:rFonts w:hint="eastAsia"/>
        </w:rPr>
        <w:t>无线电设备：</w:t>
      </w:r>
      <w:r>
        <w:rPr>
          <w:rStyle w:val="14"/>
        </w:rPr>
        <w:t>A1</w:t>
      </w:r>
      <w:r>
        <w:rPr>
          <w:rStyle w:val="14"/>
          <w:rFonts w:hint="eastAsia"/>
        </w:rPr>
        <w:t>海区</w:t>
      </w:r>
      <w:r>
        <w:tab/>
      </w:r>
      <w:r>
        <w:fldChar w:fldCharType="begin"/>
      </w:r>
      <w:r>
        <w:instrText xml:space="preserve"> PAGEREF _Toc101878656 \h </w:instrText>
      </w:r>
      <w:r>
        <w:fldChar w:fldCharType="separate"/>
      </w:r>
      <w:r>
        <w:t>5</w:t>
      </w:r>
      <w:r>
        <w:fldChar w:fldCharType="end"/>
      </w:r>
      <w:r>
        <w:fldChar w:fldCharType="end"/>
      </w:r>
    </w:p>
    <w:p>
      <w:pPr>
        <w:pStyle w:val="6"/>
        <w:tabs>
          <w:tab w:val="right" w:leader="dot" w:pos="8296"/>
        </w:tabs>
      </w:pPr>
      <w:r>
        <w:fldChar w:fldCharType="begin"/>
      </w:r>
      <w:r>
        <w:instrText xml:space="preserve"> HYPERLINK \l "_Toc101878657" </w:instrText>
      </w:r>
      <w:r>
        <w:fldChar w:fldCharType="separate"/>
      </w:r>
      <w:r>
        <w:rPr>
          <w:rStyle w:val="14"/>
        </w:rPr>
        <w:t xml:space="preserve">14.9  </w:t>
      </w:r>
      <w:r>
        <w:rPr>
          <w:rStyle w:val="14"/>
          <w:rFonts w:hint="eastAsia"/>
        </w:rPr>
        <w:t>无线电设备：</w:t>
      </w:r>
      <w:r>
        <w:rPr>
          <w:rStyle w:val="14"/>
        </w:rPr>
        <w:t>A1</w:t>
      </w:r>
      <w:r>
        <w:rPr>
          <w:rStyle w:val="14"/>
          <w:rFonts w:hint="eastAsia"/>
        </w:rPr>
        <w:t>和</w:t>
      </w:r>
      <w:r>
        <w:rPr>
          <w:rStyle w:val="14"/>
        </w:rPr>
        <w:t>A2</w:t>
      </w:r>
      <w:r>
        <w:rPr>
          <w:rStyle w:val="14"/>
          <w:rFonts w:hint="eastAsia"/>
        </w:rPr>
        <w:t>海区</w:t>
      </w:r>
      <w:r>
        <w:tab/>
      </w:r>
      <w:r>
        <w:fldChar w:fldCharType="begin"/>
      </w:r>
      <w:r>
        <w:instrText xml:space="preserve"> PAGEREF _Toc101878657 \h </w:instrText>
      </w:r>
      <w:r>
        <w:fldChar w:fldCharType="separate"/>
      </w:r>
      <w:r>
        <w:t>6</w:t>
      </w:r>
      <w:r>
        <w:fldChar w:fldCharType="end"/>
      </w:r>
      <w:r>
        <w:fldChar w:fldCharType="end"/>
      </w:r>
    </w:p>
    <w:p>
      <w:pPr>
        <w:pStyle w:val="6"/>
        <w:tabs>
          <w:tab w:val="right" w:leader="dot" w:pos="8296"/>
        </w:tabs>
      </w:pPr>
      <w:r>
        <w:fldChar w:fldCharType="begin"/>
      </w:r>
      <w:r>
        <w:instrText xml:space="preserve"> HYPERLINK \l "_Toc101878658" </w:instrText>
      </w:r>
      <w:r>
        <w:fldChar w:fldCharType="separate"/>
      </w:r>
      <w:r>
        <w:rPr>
          <w:rStyle w:val="14"/>
        </w:rPr>
        <w:t xml:space="preserve">14.10  </w:t>
      </w:r>
      <w:r>
        <w:rPr>
          <w:rStyle w:val="14"/>
          <w:rFonts w:hint="eastAsia"/>
        </w:rPr>
        <w:t>无线电设备：</w:t>
      </w:r>
      <w:r>
        <w:rPr>
          <w:rStyle w:val="14"/>
        </w:rPr>
        <w:t>A1</w:t>
      </w:r>
      <w:r>
        <w:rPr>
          <w:rStyle w:val="14"/>
          <w:rFonts w:hint="eastAsia"/>
        </w:rPr>
        <w:t>、</w:t>
      </w:r>
      <w:r>
        <w:rPr>
          <w:rStyle w:val="14"/>
        </w:rPr>
        <w:t>A2</w:t>
      </w:r>
      <w:r>
        <w:rPr>
          <w:rStyle w:val="14"/>
          <w:rFonts w:hint="eastAsia"/>
        </w:rPr>
        <w:t>和</w:t>
      </w:r>
      <w:r>
        <w:rPr>
          <w:rStyle w:val="14"/>
        </w:rPr>
        <w:t>A3</w:t>
      </w:r>
      <w:r>
        <w:rPr>
          <w:rStyle w:val="14"/>
          <w:rFonts w:hint="eastAsia"/>
        </w:rPr>
        <w:t>海区</w:t>
      </w:r>
      <w:r>
        <w:tab/>
      </w:r>
      <w:r>
        <w:fldChar w:fldCharType="begin"/>
      </w:r>
      <w:r>
        <w:instrText xml:space="preserve"> PAGEREF _Toc101878658 \h </w:instrText>
      </w:r>
      <w:r>
        <w:fldChar w:fldCharType="separate"/>
      </w:r>
      <w:r>
        <w:t>6</w:t>
      </w:r>
      <w:r>
        <w:fldChar w:fldCharType="end"/>
      </w:r>
      <w:r>
        <w:fldChar w:fldCharType="end"/>
      </w:r>
    </w:p>
    <w:p>
      <w:pPr>
        <w:pStyle w:val="6"/>
        <w:tabs>
          <w:tab w:val="right" w:leader="dot" w:pos="8296"/>
        </w:tabs>
      </w:pPr>
      <w:r>
        <w:fldChar w:fldCharType="begin"/>
      </w:r>
      <w:r>
        <w:instrText xml:space="preserve"> HYPERLINK \l "_Toc101878659" </w:instrText>
      </w:r>
      <w:r>
        <w:fldChar w:fldCharType="separate"/>
      </w:r>
      <w:r>
        <w:rPr>
          <w:rStyle w:val="14"/>
        </w:rPr>
        <w:t xml:space="preserve">14.12  </w:t>
      </w:r>
      <w:r>
        <w:rPr>
          <w:rStyle w:val="14"/>
          <w:rFonts w:hint="eastAsia"/>
        </w:rPr>
        <w:t>值班</w:t>
      </w:r>
      <w:r>
        <w:tab/>
      </w:r>
      <w:r>
        <w:fldChar w:fldCharType="begin"/>
      </w:r>
      <w:r>
        <w:instrText xml:space="preserve"> PAGEREF _Toc101878659 \h </w:instrText>
      </w:r>
      <w:r>
        <w:fldChar w:fldCharType="separate"/>
      </w:r>
      <w:r>
        <w:t>6</w:t>
      </w:r>
      <w:r>
        <w:fldChar w:fldCharType="end"/>
      </w:r>
      <w:r>
        <w:fldChar w:fldCharType="end"/>
      </w:r>
    </w:p>
    <w:p>
      <w:pPr>
        <w:pStyle w:val="6"/>
        <w:tabs>
          <w:tab w:val="right" w:leader="dot" w:pos="8296"/>
        </w:tabs>
      </w:pPr>
      <w:r>
        <w:fldChar w:fldCharType="begin"/>
      </w:r>
      <w:r>
        <w:instrText xml:space="preserve"> HYPERLINK \l "_Toc101878660" </w:instrText>
      </w:r>
      <w:r>
        <w:fldChar w:fldCharType="separate"/>
      </w:r>
      <w:r>
        <w:rPr>
          <w:rStyle w:val="14"/>
        </w:rPr>
        <w:t xml:space="preserve">14.13  </w:t>
      </w:r>
      <w:r>
        <w:rPr>
          <w:rStyle w:val="14"/>
          <w:rFonts w:hint="eastAsia"/>
        </w:rPr>
        <w:t>电源</w:t>
      </w:r>
      <w:r>
        <w:tab/>
      </w:r>
      <w:r>
        <w:fldChar w:fldCharType="begin"/>
      </w:r>
      <w:r>
        <w:instrText xml:space="preserve"> PAGEREF _Toc101878660 \h </w:instrText>
      </w:r>
      <w:r>
        <w:fldChar w:fldCharType="separate"/>
      </w:r>
      <w:r>
        <w:t>7</w:t>
      </w:r>
      <w:r>
        <w:fldChar w:fldCharType="end"/>
      </w:r>
      <w:r>
        <w:fldChar w:fldCharType="end"/>
      </w:r>
    </w:p>
    <w:p>
      <w:r>
        <w:rPr>
          <w:bCs/>
          <w:lang w:val="zh-CN"/>
        </w:rPr>
        <w:fldChar w:fldCharType="end"/>
      </w:r>
    </w:p>
    <w:p>
      <w:pPr>
        <w:widowControl/>
        <w:rPr>
          <w:b/>
          <w:sz w:val="28"/>
          <w:szCs w:val="28"/>
        </w:rPr>
      </w:pPr>
    </w:p>
    <w:p>
      <w:pPr>
        <w:jc w:val="center"/>
        <w:rPr>
          <w:rFonts w:hint="eastAsia"/>
          <w:b/>
          <w:sz w:val="28"/>
          <w:szCs w:val="28"/>
        </w:rPr>
        <w:sectPr>
          <w:footerReference r:id="rId4" w:type="default"/>
          <w:footnotePr>
            <w:numFmt w:val="decimalEnclosedCircleChinese"/>
          </w:footnotePr>
          <w:pgSz w:w="11906" w:h="16838"/>
          <w:pgMar w:top="1440" w:right="1800" w:bottom="1440" w:left="1800" w:header="851" w:footer="992" w:gutter="0"/>
          <w:pgNumType w:fmt="upperRoman" w:start="1"/>
          <w:cols w:space="425" w:num="1"/>
          <w:docGrid w:type="lines" w:linePitch="312" w:charSpace="0"/>
        </w:sectPr>
      </w:pPr>
    </w:p>
    <w:p>
      <w:pPr>
        <w:jc w:val="center"/>
        <w:rPr>
          <w:b/>
          <w:sz w:val="28"/>
          <w:szCs w:val="28"/>
        </w:rPr>
      </w:pPr>
      <w:r>
        <w:rPr>
          <w:rFonts w:hint="eastAsia"/>
          <w:b/>
          <w:sz w:val="28"/>
          <w:szCs w:val="28"/>
        </w:rPr>
        <w:t>附则2  2000年国际高速船安全规则</w:t>
      </w:r>
    </w:p>
    <w:p>
      <w:pPr>
        <w:jc w:val="center"/>
        <w:rPr>
          <w:b/>
          <w:sz w:val="28"/>
          <w:szCs w:val="28"/>
        </w:rPr>
      </w:pPr>
    </w:p>
    <w:p>
      <w:pPr>
        <w:pStyle w:val="3"/>
        <w:jc w:val="center"/>
      </w:pPr>
      <w:bookmarkStart w:id="2" w:name="_Toc101878652"/>
      <w:r>
        <w:rPr>
          <w:rFonts w:hint="eastAsia"/>
        </w:rPr>
        <w:t>说   明</w:t>
      </w:r>
      <w:bookmarkEnd w:id="2"/>
    </w:p>
    <w:p>
      <w:pPr>
        <w:ind w:firstLine="420" w:firstLineChars="200"/>
        <w:rPr>
          <w:rFonts w:ascii="楷体" w:hAnsi="楷体" w:eastAsia="楷体"/>
          <w:szCs w:val="20"/>
        </w:rPr>
      </w:pPr>
      <w:r>
        <w:rPr>
          <w:rFonts w:hint="eastAsia" w:ascii="楷体" w:hAnsi="楷体" w:eastAsia="楷体"/>
          <w:szCs w:val="20"/>
        </w:rPr>
        <w:t>原2 改为：</w:t>
      </w:r>
    </w:p>
    <w:p>
      <w:pPr>
        <w:ind w:firstLine="420" w:firstLineChars="200"/>
        <w:rPr>
          <w:szCs w:val="20"/>
        </w:rPr>
      </w:pPr>
      <w:r>
        <w:rPr>
          <w:rFonts w:hint="eastAsia"/>
          <w:szCs w:val="20"/>
        </w:rPr>
        <w:t>“2  本附则已包括以下决议通过的修正案：</w:t>
      </w:r>
    </w:p>
    <w:tbl>
      <w:tblPr>
        <w:tblStyle w:val="12"/>
        <w:tblW w:w="0" w:type="auto"/>
        <w:tblInd w:w="82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54"/>
        <w:gridCol w:w="2130"/>
        <w:gridCol w:w="21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rFonts w:hint="eastAsia"/>
                <w:szCs w:val="20"/>
              </w:rPr>
              <w:t>序号</w:t>
            </w:r>
          </w:p>
        </w:tc>
        <w:tc>
          <w:tcPr>
            <w:tcW w:w="2354" w:type="dxa"/>
          </w:tcPr>
          <w:p>
            <w:pPr>
              <w:spacing w:line="320" w:lineRule="exact"/>
              <w:rPr>
                <w:szCs w:val="20"/>
              </w:rPr>
            </w:pPr>
            <w:r>
              <w:rPr>
                <w:rFonts w:hint="eastAsia"/>
                <w:szCs w:val="20"/>
              </w:rPr>
              <w:t xml:space="preserve">  决  议</w:t>
            </w:r>
          </w:p>
        </w:tc>
        <w:tc>
          <w:tcPr>
            <w:tcW w:w="2130" w:type="dxa"/>
          </w:tcPr>
          <w:p>
            <w:pPr>
              <w:spacing w:line="320" w:lineRule="exact"/>
              <w:rPr>
                <w:szCs w:val="20"/>
              </w:rPr>
            </w:pPr>
            <w:r>
              <w:rPr>
                <w:rFonts w:hint="eastAsia"/>
                <w:szCs w:val="20"/>
              </w:rPr>
              <w:t xml:space="preserve">  通过日期</w:t>
            </w:r>
          </w:p>
        </w:tc>
        <w:tc>
          <w:tcPr>
            <w:tcW w:w="2130" w:type="dxa"/>
          </w:tcPr>
          <w:p>
            <w:pPr>
              <w:spacing w:line="320" w:lineRule="exact"/>
              <w:rPr>
                <w:szCs w:val="20"/>
              </w:rPr>
            </w:pPr>
            <w:r>
              <w:rPr>
                <w:rFonts w:hint="eastAsia"/>
                <w:szCs w:val="20"/>
              </w:rPr>
              <w:t>生效日期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rFonts w:hint="eastAsia"/>
                <w:szCs w:val="20"/>
              </w:rPr>
              <w:t>1</w:t>
            </w:r>
          </w:p>
        </w:tc>
        <w:tc>
          <w:tcPr>
            <w:tcW w:w="2354" w:type="dxa"/>
          </w:tcPr>
          <w:p>
            <w:pPr>
              <w:spacing w:line="320" w:lineRule="exact"/>
              <w:rPr>
                <w:szCs w:val="20"/>
              </w:rPr>
            </w:pPr>
            <w:r>
              <w:rPr>
                <w:rFonts w:hint="eastAsia"/>
                <w:szCs w:val="20"/>
              </w:rPr>
              <w:t>MSC.175（79）</w:t>
            </w:r>
          </w:p>
        </w:tc>
        <w:tc>
          <w:tcPr>
            <w:tcW w:w="2130" w:type="dxa"/>
          </w:tcPr>
          <w:p>
            <w:pPr>
              <w:spacing w:line="320" w:lineRule="exact"/>
              <w:rPr>
                <w:szCs w:val="20"/>
              </w:rPr>
            </w:pPr>
            <w:r>
              <w:rPr>
                <w:rFonts w:hint="eastAsia"/>
                <w:szCs w:val="20"/>
              </w:rPr>
              <w:t>2004年12月10日</w:t>
            </w:r>
          </w:p>
        </w:tc>
        <w:tc>
          <w:tcPr>
            <w:tcW w:w="2130" w:type="dxa"/>
          </w:tcPr>
          <w:p>
            <w:pPr>
              <w:spacing w:line="320" w:lineRule="exact"/>
              <w:rPr>
                <w:szCs w:val="20"/>
              </w:rPr>
            </w:pPr>
            <w:r>
              <w:rPr>
                <w:rFonts w:hint="eastAsia"/>
                <w:szCs w:val="20"/>
              </w:rPr>
              <w:t>2006年7月1日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rFonts w:hint="eastAsia"/>
                <w:szCs w:val="20"/>
              </w:rPr>
              <w:t>2</w:t>
            </w:r>
          </w:p>
        </w:tc>
        <w:tc>
          <w:tcPr>
            <w:tcW w:w="2354" w:type="dxa"/>
          </w:tcPr>
          <w:p>
            <w:pPr>
              <w:spacing w:line="320" w:lineRule="exact"/>
              <w:rPr>
                <w:szCs w:val="20"/>
              </w:rPr>
            </w:pPr>
            <w:r>
              <w:rPr>
                <w:rFonts w:hint="eastAsia"/>
                <w:szCs w:val="20"/>
              </w:rPr>
              <w:t>MSC.222（82）</w:t>
            </w:r>
          </w:p>
        </w:tc>
        <w:tc>
          <w:tcPr>
            <w:tcW w:w="2130" w:type="dxa"/>
          </w:tcPr>
          <w:p>
            <w:pPr>
              <w:spacing w:line="320" w:lineRule="exact"/>
              <w:rPr>
                <w:szCs w:val="20"/>
              </w:rPr>
            </w:pPr>
            <w:r>
              <w:rPr>
                <w:rFonts w:hint="eastAsia"/>
                <w:szCs w:val="20"/>
              </w:rPr>
              <w:t>2006年12月8日</w:t>
            </w:r>
          </w:p>
        </w:tc>
        <w:tc>
          <w:tcPr>
            <w:tcW w:w="2130" w:type="dxa"/>
          </w:tcPr>
          <w:p>
            <w:pPr>
              <w:spacing w:line="320" w:lineRule="exact"/>
              <w:rPr>
                <w:szCs w:val="20"/>
              </w:rPr>
            </w:pPr>
            <w:r>
              <w:rPr>
                <w:rFonts w:hint="eastAsia"/>
                <w:szCs w:val="20"/>
              </w:rPr>
              <w:t>2008年7月1日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rFonts w:hint="eastAsia"/>
                <w:szCs w:val="20"/>
              </w:rPr>
              <w:t>3</w:t>
            </w:r>
          </w:p>
        </w:tc>
        <w:tc>
          <w:tcPr>
            <w:tcW w:w="2354" w:type="dxa"/>
          </w:tcPr>
          <w:p>
            <w:pPr>
              <w:spacing w:line="320" w:lineRule="exact"/>
              <w:rPr>
                <w:szCs w:val="20"/>
              </w:rPr>
            </w:pPr>
            <w:r>
              <w:rPr>
                <w:rFonts w:hint="eastAsia"/>
                <w:szCs w:val="20"/>
              </w:rPr>
              <w:t>MSC.260（84）</w:t>
            </w:r>
          </w:p>
        </w:tc>
        <w:tc>
          <w:tcPr>
            <w:tcW w:w="2130" w:type="dxa"/>
          </w:tcPr>
          <w:p>
            <w:pPr>
              <w:spacing w:line="320" w:lineRule="exact"/>
              <w:rPr>
                <w:szCs w:val="20"/>
              </w:rPr>
            </w:pPr>
            <w:r>
              <w:rPr>
                <w:rFonts w:hint="eastAsia"/>
                <w:szCs w:val="20"/>
              </w:rPr>
              <w:t>2008年5月16日</w:t>
            </w:r>
          </w:p>
        </w:tc>
        <w:tc>
          <w:tcPr>
            <w:tcW w:w="2130" w:type="dxa"/>
          </w:tcPr>
          <w:p>
            <w:pPr>
              <w:spacing w:line="320" w:lineRule="exact"/>
              <w:rPr>
                <w:szCs w:val="20"/>
              </w:rPr>
            </w:pPr>
            <w:r>
              <w:rPr>
                <w:rFonts w:hint="eastAsia"/>
                <w:szCs w:val="20"/>
              </w:rPr>
              <w:t>2010年1月1日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rFonts w:hint="eastAsia"/>
                <w:szCs w:val="20"/>
              </w:rPr>
              <w:t>4</w:t>
            </w:r>
          </w:p>
        </w:tc>
        <w:tc>
          <w:tcPr>
            <w:tcW w:w="2354" w:type="dxa"/>
          </w:tcPr>
          <w:p>
            <w:pPr>
              <w:spacing w:line="320" w:lineRule="exact"/>
              <w:rPr>
                <w:szCs w:val="20"/>
              </w:rPr>
            </w:pPr>
            <w:r>
              <w:rPr>
                <w:rFonts w:hint="eastAsia"/>
                <w:szCs w:val="20"/>
              </w:rPr>
              <w:t>MSC.271（85）</w:t>
            </w:r>
          </w:p>
        </w:tc>
        <w:tc>
          <w:tcPr>
            <w:tcW w:w="2130" w:type="dxa"/>
          </w:tcPr>
          <w:p>
            <w:pPr>
              <w:spacing w:line="320" w:lineRule="exact"/>
              <w:rPr>
                <w:szCs w:val="20"/>
              </w:rPr>
            </w:pPr>
            <w:r>
              <w:rPr>
                <w:rFonts w:hint="eastAsia"/>
                <w:szCs w:val="20"/>
              </w:rPr>
              <w:t>2008年12月4日</w:t>
            </w:r>
          </w:p>
        </w:tc>
        <w:tc>
          <w:tcPr>
            <w:tcW w:w="2130" w:type="dxa"/>
          </w:tcPr>
          <w:p>
            <w:pPr>
              <w:spacing w:line="320" w:lineRule="exact"/>
              <w:rPr>
                <w:szCs w:val="20"/>
              </w:rPr>
            </w:pPr>
            <w:r>
              <w:rPr>
                <w:rFonts w:hint="eastAsia"/>
                <w:szCs w:val="20"/>
              </w:rPr>
              <w:t>2011年1月1日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spacing w:line="320" w:lineRule="exact"/>
              <w:rPr>
                <w:szCs w:val="20"/>
              </w:rPr>
            </w:pPr>
            <w:r>
              <w:rPr>
                <w:szCs w:val="20"/>
              </w:rPr>
              <w:t>5</w:t>
            </w:r>
          </w:p>
        </w:tc>
        <w:tc>
          <w:tcPr>
            <w:tcW w:w="2354" w:type="dxa"/>
          </w:tcPr>
          <w:p>
            <w:pPr>
              <w:spacing w:line="320" w:lineRule="exact"/>
              <w:rPr>
                <w:szCs w:val="20"/>
              </w:rPr>
            </w:pPr>
            <w:r>
              <w:rPr>
                <w:szCs w:val="20"/>
              </w:rPr>
              <w:t>MSC.326(90)</w:t>
            </w:r>
          </w:p>
        </w:tc>
        <w:tc>
          <w:tcPr>
            <w:tcW w:w="2130" w:type="dxa"/>
          </w:tcPr>
          <w:p>
            <w:pPr>
              <w:spacing w:line="320" w:lineRule="exact"/>
              <w:rPr>
                <w:szCs w:val="20"/>
              </w:rPr>
            </w:pPr>
            <w:r>
              <w:rPr>
                <w:szCs w:val="20"/>
              </w:rPr>
              <w:t>2012</w:t>
            </w:r>
            <w:r>
              <w:rPr>
                <w:rFonts w:hint="eastAsia"/>
                <w:szCs w:val="20"/>
              </w:rPr>
              <w:t>年</w:t>
            </w:r>
            <w:r>
              <w:rPr>
                <w:szCs w:val="20"/>
              </w:rPr>
              <w:t>5</w:t>
            </w:r>
            <w:r>
              <w:rPr>
                <w:rFonts w:hint="eastAsia"/>
                <w:szCs w:val="20"/>
              </w:rPr>
              <w:t>月</w:t>
            </w:r>
            <w:r>
              <w:rPr>
                <w:szCs w:val="20"/>
              </w:rPr>
              <w:t>24</w:t>
            </w:r>
            <w:r>
              <w:rPr>
                <w:rFonts w:hint="eastAsia"/>
                <w:szCs w:val="20"/>
              </w:rPr>
              <w:t>日</w:t>
            </w:r>
          </w:p>
        </w:tc>
        <w:tc>
          <w:tcPr>
            <w:tcW w:w="2130" w:type="dxa"/>
          </w:tcPr>
          <w:p>
            <w:pPr>
              <w:spacing w:line="320" w:lineRule="exact"/>
              <w:rPr>
                <w:szCs w:val="20"/>
              </w:rPr>
            </w:pPr>
            <w:r>
              <w:rPr>
                <w:szCs w:val="20"/>
              </w:rPr>
              <w:t>2014</w:t>
            </w:r>
            <w:r>
              <w:rPr>
                <w:rFonts w:hint="eastAsia"/>
                <w:szCs w:val="20"/>
              </w:rPr>
              <w:t>年</w:t>
            </w:r>
            <w:r>
              <w:rPr>
                <w:szCs w:val="20"/>
              </w:rPr>
              <w:t>1</w:t>
            </w:r>
            <w:r>
              <w:rPr>
                <w:rFonts w:hint="eastAsia"/>
                <w:szCs w:val="20"/>
              </w:rPr>
              <w:t>月</w:t>
            </w:r>
            <w:r>
              <w:rPr>
                <w:szCs w:val="20"/>
              </w:rPr>
              <w:t>1</w:t>
            </w:r>
            <w:r>
              <w:rPr>
                <w:rFonts w:hint="eastAsia"/>
                <w:szCs w:val="20"/>
              </w:rPr>
              <w:t>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320" w:lineRule="exact"/>
              <w:rPr>
                <w:color w:val="000000"/>
                <w:szCs w:val="20"/>
              </w:rPr>
            </w:pPr>
            <w:r>
              <w:rPr>
                <w:rFonts w:hint="eastAsia"/>
                <w:color w:val="000000"/>
                <w:szCs w:val="20"/>
              </w:rPr>
              <w:t>6</w:t>
            </w:r>
          </w:p>
        </w:tc>
        <w:tc>
          <w:tcPr>
            <w:tcW w:w="2354" w:type="dxa"/>
          </w:tcPr>
          <w:p>
            <w:pPr>
              <w:spacing w:line="320" w:lineRule="exact"/>
              <w:rPr>
                <w:color w:val="000000"/>
                <w:szCs w:val="20"/>
              </w:rPr>
            </w:pPr>
            <w:r>
              <w:rPr>
                <w:color w:val="000000"/>
                <w:szCs w:val="20"/>
              </w:rPr>
              <w:t>MSC.</w:t>
            </w:r>
            <w:r>
              <w:rPr>
                <w:rFonts w:hint="eastAsia"/>
                <w:color w:val="000000"/>
                <w:szCs w:val="20"/>
              </w:rPr>
              <w:t>352</w:t>
            </w:r>
            <w:r>
              <w:rPr>
                <w:color w:val="000000"/>
                <w:szCs w:val="20"/>
              </w:rPr>
              <w:t>（</w:t>
            </w:r>
            <w:r>
              <w:rPr>
                <w:rFonts w:hint="eastAsia"/>
                <w:color w:val="000000"/>
                <w:szCs w:val="20"/>
              </w:rPr>
              <w:t>92</w:t>
            </w:r>
            <w:r>
              <w:rPr>
                <w:color w:val="000000"/>
                <w:szCs w:val="20"/>
              </w:rPr>
              <w:t>）</w:t>
            </w:r>
          </w:p>
        </w:tc>
        <w:tc>
          <w:tcPr>
            <w:tcW w:w="2130" w:type="dxa"/>
          </w:tcPr>
          <w:p>
            <w:pPr>
              <w:spacing w:line="320" w:lineRule="exact"/>
              <w:rPr>
                <w:color w:val="000000"/>
                <w:szCs w:val="20"/>
              </w:rPr>
            </w:pPr>
            <w:r>
              <w:rPr>
                <w:color w:val="000000"/>
                <w:szCs w:val="20"/>
              </w:rPr>
              <w:t>201</w:t>
            </w:r>
            <w:r>
              <w:rPr>
                <w:rFonts w:hint="eastAsia"/>
                <w:color w:val="000000"/>
                <w:szCs w:val="20"/>
              </w:rPr>
              <w:t>3</w:t>
            </w:r>
            <w:r>
              <w:rPr>
                <w:color w:val="000000"/>
                <w:szCs w:val="20"/>
              </w:rPr>
              <w:t>年</w:t>
            </w:r>
            <w:r>
              <w:rPr>
                <w:rFonts w:hint="eastAsia"/>
                <w:color w:val="000000"/>
                <w:szCs w:val="20"/>
              </w:rPr>
              <w:t>6</w:t>
            </w:r>
            <w:r>
              <w:rPr>
                <w:color w:val="000000"/>
                <w:szCs w:val="20"/>
              </w:rPr>
              <w:t>月</w:t>
            </w:r>
            <w:r>
              <w:rPr>
                <w:rFonts w:hint="eastAsia"/>
                <w:color w:val="000000"/>
                <w:szCs w:val="20"/>
              </w:rPr>
              <w:t>21</w:t>
            </w:r>
            <w:r>
              <w:rPr>
                <w:color w:val="000000"/>
                <w:szCs w:val="20"/>
              </w:rPr>
              <w:t>日</w:t>
            </w:r>
          </w:p>
        </w:tc>
        <w:tc>
          <w:tcPr>
            <w:tcW w:w="2130" w:type="dxa"/>
          </w:tcPr>
          <w:p>
            <w:pPr>
              <w:spacing w:line="320" w:lineRule="exact"/>
              <w:rPr>
                <w:color w:val="000000"/>
                <w:szCs w:val="20"/>
              </w:rPr>
            </w:pPr>
            <w:r>
              <w:rPr>
                <w:color w:val="000000"/>
                <w:szCs w:val="20"/>
              </w:rPr>
              <w:t>201</w:t>
            </w:r>
            <w:r>
              <w:rPr>
                <w:rFonts w:hint="eastAsia"/>
                <w:color w:val="000000"/>
                <w:szCs w:val="20"/>
              </w:rPr>
              <w:t>5</w:t>
            </w:r>
            <w:r>
              <w:rPr>
                <w:color w:val="000000"/>
                <w:szCs w:val="20"/>
              </w:rPr>
              <w:t>年</w:t>
            </w:r>
            <w:r>
              <w:rPr>
                <w:rFonts w:hint="eastAsia"/>
                <w:color w:val="000000"/>
                <w:szCs w:val="20"/>
              </w:rPr>
              <w:t>1</w:t>
            </w:r>
            <w:r>
              <w:rPr>
                <w:color w:val="000000"/>
                <w:szCs w:val="20"/>
              </w:rPr>
              <w:t>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320" w:lineRule="exact"/>
              <w:rPr>
                <w:color w:val="000000"/>
                <w:szCs w:val="20"/>
              </w:rPr>
            </w:pPr>
            <w:r>
              <w:rPr>
                <w:rFonts w:hint="eastAsia"/>
                <w:color w:val="000000"/>
                <w:szCs w:val="20"/>
              </w:rPr>
              <w:t>7</w:t>
            </w:r>
          </w:p>
        </w:tc>
        <w:tc>
          <w:tcPr>
            <w:tcW w:w="2354" w:type="dxa"/>
          </w:tcPr>
          <w:p>
            <w:pPr>
              <w:spacing w:line="320" w:lineRule="exact"/>
              <w:rPr>
                <w:color w:val="000000"/>
                <w:szCs w:val="20"/>
              </w:rPr>
            </w:pPr>
            <w:r>
              <w:rPr>
                <w:rFonts w:hint="eastAsia"/>
                <w:color w:val="000000"/>
                <w:szCs w:val="20"/>
              </w:rPr>
              <w:t>MSC.424（98）</w:t>
            </w:r>
          </w:p>
        </w:tc>
        <w:tc>
          <w:tcPr>
            <w:tcW w:w="2130" w:type="dxa"/>
          </w:tcPr>
          <w:p>
            <w:pPr>
              <w:spacing w:line="320" w:lineRule="exact"/>
              <w:rPr>
                <w:color w:val="000000"/>
                <w:szCs w:val="20"/>
              </w:rPr>
            </w:pPr>
            <w:r>
              <w:rPr>
                <w:rFonts w:hint="eastAsia"/>
                <w:color w:val="000000"/>
                <w:szCs w:val="20"/>
              </w:rPr>
              <w:t>2017年6月15日</w:t>
            </w:r>
          </w:p>
        </w:tc>
        <w:tc>
          <w:tcPr>
            <w:tcW w:w="2130" w:type="dxa"/>
          </w:tcPr>
          <w:p>
            <w:pPr>
              <w:spacing w:line="320" w:lineRule="exact"/>
              <w:rPr>
                <w:color w:val="000000"/>
                <w:szCs w:val="20"/>
              </w:rPr>
            </w:pPr>
            <w:r>
              <w:rPr>
                <w:rFonts w:hint="eastAsia"/>
                <w:color w:val="000000"/>
                <w:szCs w:val="20"/>
              </w:rPr>
              <w:t>2020年1月1日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spacing w:line="320" w:lineRule="exact"/>
              <w:rPr>
                <w:color w:val="FF0000"/>
                <w:szCs w:val="20"/>
                <w:u w:val="single"/>
              </w:rPr>
            </w:pPr>
            <w:r>
              <w:rPr>
                <w:color w:val="FF0000"/>
                <w:szCs w:val="20"/>
                <w:u w:val="single"/>
              </w:rPr>
              <w:t>8</w:t>
            </w:r>
          </w:p>
        </w:tc>
        <w:tc>
          <w:tcPr>
            <w:tcW w:w="2354" w:type="dxa"/>
          </w:tcPr>
          <w:p>
            <w:pPr>
              <w:spacing w:line="320" w:lineRule="exact"/>
              <w:rPr>
                <w:color w:val="FF0000"/>
                <w:szCs w:val="20"/>
                <w:u w:val="single"/>
              </w:rPr>
            </w:pPr>
            <w:r>
              <w:rPr>
                <w:color w:val="FF0000"/>
                <w:szCs w:val="20"/>
                <w:u w:val="single"/>
              </w:rPr>
              <w:t>MSC.439</w:t>
            </w:r>
            <w:r>
              <w:rPr>
                <w:rFonts w:hint="eastAsia"/>
                <w:color w:val="FF0000"/>
                <w:szCs w:val="20"/>
                <w:u w:val="single"/>
              </w:rPr>
              <w:t>（99）</w:t>
            </w:r>
          </w:p>
        </w:tc>
        <w:tc>
          <w:tcPr>
            <w:tcW w:w="2130" w:type="dxa"/>
          </w:tcPr>
          <w:p>
            <w:pPr>
              <w:spacing w:line="320" w:lineRule="exact"/>
              <w:rPr>
                <w:color w:val="FF0000"/>
                <w:szCs w:val="20"/>
                <w:u w:val="single"/>
              </w:rPr>
            </w:pPr>
            <w:r>
              <w:rPr>
                <w:rFonts w:hint="eastAsia"/>
                <w:color w:val="FF0000"/>
                <w:szCs w:val="20"/>
                <w:u w:val="single"/>
              </w:rPr>
              <w:t>2018年5月24日</w:t>
            </w:r>
          </w:p>
        </w:tc>
        <w:tc>
          <w:tcPr>
            <w:tcW w:w="2130" w:type="dxa"/>
          </w:tcPr>
          <w:p>
            <w:pPr>
              <w:spacing w:line="320" w:lineRule="exact"/>
              <w:rPr>
                <w:color w:val="FF0000"/>
                <w:szCs w:val="20"/>
                <w:u w:val="single"/>
              </w:rPr>
            </w:pPr>
            <w:r>
              <w:rPr>
                <w:rFonts w:hint="eastAsia"/>
                <w:color w:val="FF0000"/>
                <w:szCs w:val="20"/>
                <w:u w:val="single"/>
              </w:rPr>
              <w:t>2020年1月1日</w:t>
            </w:r>
          </w:p>
        </w:tc>
      </w:tr>
    </w:tbl>
    <w:p>
      <w:pPr>
        <w:ind w:firstLine="315" w:firstLineChars="150"/>
        <w:jc w:val="left"/>
        <w:rPr>
          <w:szCs w:val="20"/>
        </w:rPr>
      </w:pPr>
      <w:r>
        <w:rPr>
          <w:rFonts w:hint="eastAsia"/>
          <w:szCs w:val="20"/>
        </w:rPr>
        <w:t>”</w:t>
      </w:r>
    </w:p>
    <w:p>
      <w:pPr>
        <w:jc w:val="center"/>
        <w:outlineLvl w:val="0"/>
        <w:rPr>
          <w:b/>
          <w:sz w:val="28"/>
          <w:szCs w:val="28"/>
        </w:rPr>
      </w:pPr>
      <w:r>
        <w:br w:type="page"/>
      </w:r>
    </w:p>
    <w:p>
      <w:pPr>
        <w:pStyle w:val="3"/>
        <w:jc w:val="center"/>
      </w:pPr>
      <w:bookmarkStart w:id="3" w:name="_Toc101878653"/>
      <w:r>
        <w:rPr>
          <w:rFonts w:hint="eastAsia"/>
        </w:rPr>
        <w:t>第14章  无线电通信</w:t>
      </w:r>
      <w:bookmarkEnd w:id="3"/>
    </w:p>
    <w:p>
      <w:pPr>
        <w:pStyle w:val="4"/>
        <w:ind w:firstLine="422" w:firstLineChars="200"/>
        <w:rPr>
          <w:sz w:val="21"/>
          <w:szCs w:val="21"/>
        </w:rPr>
      </w:pPr>
      <w:bookmarkStart w:id="4" w:name="_Toc101878654"/>
      <w:r>
        <w:rPr>
          <w:sz w:val="21"/>
          <w:szCs w:val="21"/>
        </w:rPr>
        <w:t>14.2</w:t>
      </w:r>
      <w:r>
        <w:rPr>
          <w:rFonts w:hint="eastAsia"/>
          <w:sz w:val="21"/>
          <w:szCs w:val="21"/>
        </w:rPr>
        <w:t xml:space="preserve">  术语与定义</w:t>
      </w:r>
      <w:bookmarkEnd w:id="4"/>
    </w:p>
    <w:p>
      <w:pPr>
        <w:ind w:firstLine="420" w:firstLineChars="200"/>
        <w:rPr>
          <w:rFonts w:ascii="楷体" w:hAnsi="楷体" w:eastAsia="楷体"/>
          <w:szCs w:val="20"/>
        </w:rPr>
      </w:pPr>
      <w:r>
        <w:rPr>
          <w:rFonts w:hint="eastAsia" w:ascii="楷体" w:hAnsi="楷体" w:eastAsia="楷体"/>
          <w:szCs w:val="20"/>
        </w:rPr>
        <w:t>原14.2.1.6 改为：</w:t>
      </w:r>
    </w:p>
    <w:p>
      <w:pPr>
        <w:ind w:left="397" w:leftChars="189"/>
        <w:rPr>
          <w:rFonts w:ascii="Times New Roman" w:hAnsi="Times New Roman"/>
        </w:rPr>
      </w:pPr>
      <w:r>
        <w:rPr>
          <w:rFonts w:hint="eastAsia" w:ascii="Times New Roman" w:hAnsi="Times New Roman"/>
        </w:rPr>
        <w:t>“.6</w:t>
      </w:r>
      <w:r>
        <w:rPr>
          <w:rFonts w:ascii="Times New Roman" w:hAnsi="Times New Roman"/>
        </w:rPr>
        <w:t xml:space="preserve"> </w:t>
      </w:r>
      <w:r>
        <w:rPr>
          <w:rFonts w:hint="eastAsia"/>
        </w:rPr>
        <w:t>全球海上遇险和安全系统（GMDSS）标识：系指可由船舶设备发送并用于识别船舶的海上移动业务识别码、船舶呼号、</w:t>
      </w:r>
      <w:r>
        <w:rPr>
          <w:rFonts w:hint="eastAsia"/>
          <w:color w:val="FF0000"/>
          <w:u w:val="single"/>
        </w:rPr>
        <w:t>认可的移动卫星业务</w:t>
      </w:r>
      <w:r>
        <w:rPr>
          <w:strike/>
          <w:color w:val="FF0000"/>
        </w:rPr>
        <w:t>Inmarsat</w:t>
      </w:r>
      <w:r>
        <w:rPr>
          <w:rFonts w:hint="eastAsia"/>
        </w:rPr>
        <w:t>标识码和系列号识别码。</w:t>
      </w:r>
      <w:r>
        <w:rPr>
          <w:rFonts w:hint="eastAsia" w:ascii="Times New Roman" w:hAnsi="Times New Roman"/>
        </w:rPr>
        <w:t>”</w:t>
      </w:r>
    </w:p>
    <w:p>
      <w:pPr>
        <w:ind w:firstLine="420" w:firstLineChars="200"/>
        <w:rPr>
          <w:rFonts w:ascii="楷体" w:hAnsi="楷体" w:eastAsia="楷体"/>
          <w:szCs w:val="20"/>
        </w:rPr>
      </w:pPr>
      <w:r>
        <w:rPr>
          <w:rFonts w:hint="eastAsia" w:ascii="楷体" w:hAnsi="楷体" w:eastAsia="楷体"/>
          <w:szCs w:val="20"/>
        </w:rPr>
        <w:t>新增14.2.1.17如下：</w:t>
      </w:r>
    </w:p>
    <w:p>
      <w:pPr>
        <w:ind w:left="397" w:leftChars="189"/>
        <w:rPr>
          <w:u w:val="single"/>
        </w:rPr>
      </w:pPr>
      <w:r>
        <w:rPr>
          <w:rFonts w:hint="eastAsia" w:ascii="Times New Roman" w:hAnsi="Times New Roman"/>
        </w:rPr>
        <w:t>“</w:t>
      </w:r>
      <w:r>
        <w:rPr>
          <w:rFonts w:ascii="Times New Roman" w:hAnsi="Times New Roman"/>
          <w:color w:val="FF0000"/>
          <w:u w:val="single"/>
        </w:rPr>
        <w:t>.17</w:t>
      </w:r>
      <w:r>
        <w:rPr>
          <w:rFonts w:hint="eastAsia"/>
          <w:color w:val="FF0000"/>
          <w:u w:val="single"/>
        </w:rPr>
        <w:t>认可的移动卫星业务：</w:t>
      </w:r>
      <w:r>
        <w:rPr>
          <w:rFonts w:hint="eastAsia"/>
          <w:color w:val="FF0000"/>
          <w:kern w:val="0"/>
          <w:szCs w:val="21"/>
          <w:u w:val="single"/>
        </w:rPr>
        <w:t>系指通过</w:t>
      </w:r>
      <w:r>
        <w:rPr>
          <w:rFonts w:hint="eastAsia"/>
          <w:color w:val="FF0000"/>
          <w:u w:val="single"/>
        </w:rPr>
        <w:t>卫星系统工作并经本组织认可，在全球海上遇险和安全系统（GMDSS）中使用的任何业务。</w:t>
      </w:r>
      <w:r>
        <w:rPr>
          <w:rFonts w:hint="eastAsia"/>
        </w:rPr>
        <w:t>”</w:t>
      </w:r>
    </w:p>
    <w:p>
      <w:pPr>
        <w:ind w:left="397" w:leftChars="189"/>
        <w:rPr>
          <w:u w:val="single"/>
        </w:rPr>
      </w:pPr>
    </w:p>
    <w:p>
      <w:pPr>
        <w:pStyle w:val="4"/>
        <w:ind w:firstLine="422" w:firstLineChars="200"/>
        <w:rPr>
          <w:sz w:val="21"/>
          <w:szCs w:val="21"/>
        </w:rPr>
      </w:pPr>
      <w:bookmarkStart w:id="5" w:name="_Toc101878655"/>
      <w:r>
        <w:rPr>
          <w:sz w:val="21"/>
          <w:szCs w:val="21"/>
        </w:rPr>
        <w:t>14.7</w:t>
      </w:r>
      <w:r>
        <w:rPr>
          <w:rFonts w:hint="eastAsia"/>
          <w:sz w:val="21"/>
          <w:szCs w:val="21"/>
        </w:rPr>
        <w:t xml:space="preserve">  无线电设备：一般要求</w:t>
      </w:r>
      <w:bookmarkEnd w:id="5"/>
    </w:p>
    <w:p>
      <w:pPr>
        <w:ind w:firstLine="420" w:firstLineChars="200"/>
        <w:rPr>
          <w:rFonts w:ascii="楷体" w:hAnsi="楷体" w:eastAsia="楷体"/>
          <w:szCs w:val="20"/>
        </w:rPr>
      </w:pPr>
      <w:r>
        <w:rPr>
          <w:rFonts w:hint="eastAsia" w:ascii="楷体" w:hAnsi="楷体" w:eastAsia="楷体"/>
          <w:szCs w:val="20"/>
        </w:rPr>
        <w:t>原</w:t>
      </w:r>
      <w:r>
        <w:rPr>
          <w:rFonts w:ascii="楷体" w:hAnsi="楷体" w:eastAsia="楷体"/>
          <w:szCs w:val="20"/>
        </w:rPr>
        <w:t>14.7.1</w:t>
      </w:r>
      <w:r>
        <w:rPr>
          <w:rFonts w:hint="eastAsia" w:ascii="楷体" w:hAnsi="楷体" w:eastAsia="楷体"/>
          <w:szCs w:val="20"/>
        </w:rPr>
        <w:t>.5改为：</w:t>
      </w:r>
    </w:p>
    <w:p>
      <w:pPr>
        <w:ind w:firstLine="420" w:firstLineChars="200"/>
      </w:pPr>
      <w:r>
        <w:rPr>
          <w:rFonts w:hint="eastAsia"/>
        </w:rPr>
        <w:t>“.5  如果船舶航行在任何</w:t>
      </w:r>
      <w:r>
        <w:rPr>
          <w:rFonts w:hint="eastAsia"/>
          <w:color w:val="FF0000"/>
          <w:kern w:val="0"/>
          <w:szCs w:val="21"/>
          <w:u w:val="single"/>
        </w:rPr>
        <w:t>认可的移动卫星业务</w:t>
      </w:r>
      <w:r>
        <w:rPr>
          <w:strike/>
          <w:color w:val="FF0000"/>
        </w:rPr>
        <w:t>INMARSAT</w:t>
      </w:r>
      <w:r>
        <w:rPr>
          <w:rFonts w:hint="eastAsia"/>
        </w:rPr>
        <w:t>覆盖的区域内，而该区域又未能提供国际</w:t>
      </w:r>
      <w:r>
        <w:t>NAVTEX</w:t>
      </w:r>
      <w:r>
        <w:rPr>
          <w:rFonts w:hint="eastAsia"/>
        </w:rPr>
        <w:t>业务，</w:t>
      </w:r>
      <w:r>
        <w:t>1</w:t>
      </w:r>
      <w:r>
        <w:rPr>
          <w:rFonts w:hint="eastAsia"/>
        </w:rPr>
        <w:t>台接收来自</w:t>
      </w:r>
      <w:r>
        <w:rPr>
          <w:rFonts w:hint="eastAsia"/>
          <w:color w:val="FF0000"/>
          <w:kern w:val="0"/>
          <w:szCs w:val="21"/>
          <w:u w:val="single"/>
        </w:rPr>
        <w:t>认可的移动卫星业务</w:t>
      </w:r>
      <w:r>
        <w:rPr>
          <w:strike/>
          <w:color w:val="FF0000"/>
        </w:rPr>
        <w:t>INMARSAT</w:t>
      </w:r>
      <w:r>
        <w:rPr>
          <w:rFonts w:hint="eastAsia"/>
        </w:rPr>
        <w:t>增强型群呼系统</w:t>
      </w:r>
      <w:r>
        <w:rPr>
          <w:rStyle w:val="16"/>
          <w:strike/>
          <w:color w:val="FF0000"/>
        </w:rPr>
        <w:footnoteReference w:id="0"/>
      </w:r>
      <w:r>
        <w:rPr>
          <w:rFonts w:hint="eastAsia"/>
        </w:rPr>
        <w:t>的海上安全信息的无线电设备，但是，如果船舶仅航行在使用</w:t>
      </w:r>
      <w:r>
        <w:t>HF</w:t>
      </w:r>
      <w:r>
        <w:rPr>
          <w:rFonts w:hint="eastAsia"/>
        </w:rPr>
        <w:t>直接印字电报提供海上安全信息业务的区域，而该船已配备了能接收这种业务的设备，则可免除本款要求</w:t>
      </w:r>
      <w:r>
        <w:rPr>
          <w:rFonts w:hint="eastAsia" w:cs="Calibri"/>
          <w:color w:val="FF0000"/>
          <w:u w:val="single"/>
          <w:vertAlign w:val="superscript"/>
        </w:rPr>
        <w:t>①</w:t>
      </w:r>
      <w:r>
        <w:rPr>
          <w:rStyle w:val="16"/>
          <w:strike/>
          <w:color w:val="FF0000"/>
        </w:rPr>
        <w:footnoteReference w:id="1"/>
      </w:r>
      <w:r>
        <w:rPr>
          <w:rFonts w:hint="eastAsia"/>
        </w:rPr>
        <w:t>。”</w:t>
      </w:r>
    </w:p>
    <w:p/>
    <w:p>
      <w:pPr>
        <w:ind w:firstLine="420" w:firstLineChars="200"/>
        <w:rPr>
          <w:rFonts w:ascii="楷体" w:hAnsi="楷体" w:eastAsia="楷体"/>
          <w:szCs w:val="20"/>
        </w:rPr>
      </w:pPr>
      <w:r>
        <w:rPr>
          <w:rFonts w:hint="eastAsia" w:ascii="楷体" w:hAnsi="楷体" w:eastAsia="楷体"/>
          <w:szCs w:val="20"/>
        </w:rPr>
        <w:t>原</w:t>
      </w:r>
      <w:r>
        <w:rPr>
          <w:rFonts w:ascii="楷体" w:hAnsi="楷体" w:eastAsia="楷体"/>
          <w:szCs w:val="20"/>
        </w:rPr>
        <w:t>14.7.1.6.1</w:t>
      </w:r>
      <w:r>
        <w:rPr>
          <w:rFonts w:hint="eastAsia" w:ascii="楷体" w:hAnsi="楷体" w:eastAsia="楷体"/>
          <w:szCs w:val="20"/>
        </w:rPr>
        <w:t>改为：</w:t>
      </w:r>
    </w:p>
    <w:p>
      <w:pPr>
        <w:ind w:firstLine="420" w:firstLineChars="200"/>
      </w:pPr>
      <w:r>
        <w:rPr>
          <w:rFonts w:hint="eastAsia"/>
        </w:rPr>
        <w:t>“</w:t>
      </w:r>
      <w:r>
        <w:t xml:space="preserve">.6.1 </w:t>
      </w:r>
      <w:r>
        <w:rPr>
          <w:rFonts w:hint="eastAsia"/>
        </w:rPr>
        <w:t>能通过在</w:t>
      </w:r>
      <w:r>
        <w:t>406MHz</w:t>
      </w:r>
      <w:r>
        <w:rPr>
          <w:rFonts w:hint="eastAsia"/>
        </w:rPr>
        <w:t>频带上工作的极轨道卫星业务发送遇险警报。</w:t>
      </w:r>
      <w:r>
        <w:rPr>
          <w:rFonts w:hint="eastAsia"/>
          <w:strike/>
          <w:color w:val="FF0000"/>
        </w:rPr>
        <w:t>或者，如果船舶仅航行在</w:t>
      </w:r>
      <w:r>
        <w:rPr>
          <w:strike/>
          <w:color w:val="FF0000"/>
        </w:rPr>
        <w:t>INMARSAT</w:t>
      </w:r>
      <w:r>
        <w:rPr>
          <w:rFonts w:hint="eastAsia"/>
          <w:strike/>
          <w:color w:val="FF0000"/>
        </w:rPr>
        <w:t>所覆盖的区域，通过在</w:t>
      </w:r>
      <w:r>
        <w:rPr>
          <w:strike/>
          <w:color w:val="FF0000"/>
        </w:rPr>
        <w:t>1.6GHz</w:t>
      </w:r>
      <w:r>
        <w:rPr>
          <w:rFonts w:hint="eastAsia"/>
          <w:strike/>
          <w:color w:val="FF0000"/>
        </w:rPr>
        <w:t>频带工作的</w:t>
      </w:r>
      <w:r>
        <w:rPr>
          <w:strike/>
          <w:color w:val="FF0000"/>
        </w:rPr>
        <w:t>INMARSAT</w:t>
      </w:r>
      <w:r>
        <w:rPr>
          <w:rFonts w:hint="eastAsia"/>
          <w:strike/>
          <w:color w:val="FF0000"/>
        </w:rPr>
        <w:t>静止卫星业务发送遇险警告；</w:t>
      </w:r>
      <w:r>
        <w:rPr>
          <w:rFonts w:hint="eastAsia"/>
        </w:rPr>
        <w:t>”</w:t>
      </w:r>
    </w:p>
    <w:p/>
    <w:p>
      <w:pPr>
        <w:pStyle w:val="4"/>
        <w:ind w:firstLine="422" w:firstLineChars="200"/>
        <w:rPr>
          <w:sz w:val="21"/>
          <w:szCs w:val="21"/>
        </w:rPr>
      </w:pPr>
      <w:bookmarkStart w:id="6" w:name="_Toc101878656"/>
      <w:r>
        <w:rPr>
          <w:sz w:val="21"/>
          <w:szCs w:val="21"/>
        </w:rPr>
        <w:t>14.8</w:t>
      </w:r>
      <w:r>
        <w:rPr>
          <w:rFonts w:hint="eastAsia"/>
          <w:sz w:val="21"/>
          <w:szCs w:val="21"/>
        </w:rPr>
        <w:t xml:space="preserve">  无线电设备：</w:t>
      </w:r>
      <w:r>
        <w:rPr>
          <w:sz w:val="21"/>
          <w:szCs w:val="21"/>
        </w:rPr>
        <w:t>A1</w:t>
      </w:r>
      <w:r>
        <w:rPr>
          <w:rFonts w:hint="eastAsia"/>
          <w:sz w:val="21"/>
          <w:szCs w:val="21"/>
        </w:rPr>
        <w:t>海区</w:t>
      </w:r>
      <w:bookmarkEnd w:id="6"/>
    </w:p>
    <w:p>
      <w:pPr>
        <w:ind w:firstLine="420" w:firstLineChars="200"/>
        <w:rPr>
          <w:rFonts w:ascii="楷体" w:hAnsi="楷体" w:eastAsia="楷体"/>
          <w:szCs w:val="20"/>
        </w:rPr>
      </w:pPr>
      <w:r>
        <w:rPr>
          <w:rFonts w:hint="eastAsia" w:ascii="楷体" w:hAnsi="楷体" w:eastAsia="楷体"/>
          <w:szCs w:val="20"/>
        </w:rPr>
        <w:t>原14.8.1.5改为：</w:t>
      </w:r>
    </w:p>
    <w:p>
      <w:pPr>
        <w:ind w:firstLine="420" w:firstLineChars="200"/>
        <w:rPr>
          <w:strike/>
        </w:rPr>
      </w:pPr>
      <w:r>
        <w:rPr>
          <w:rFonts w:hint="eastAsia" w:ascii="Times New Roman" w:hAnsi="Times New Roman"/>
          <w:kern w:val="0"/>
          <w:szCs w:val="21"/>
        </w:rPr>
        <w:t>“</w:t>
      </w:r>
      <w:r>
        <w:t>.5</w:t>
      </w:r>
      <w:r>
        <w:rPr>
          <w:rFonts w:ascii="Times New Roman" w:hAnsi="Times New Roman"/>
          <w:kern w:val="0"/>
          <w:szCs w:val="21"/>
        </w:rPr>
        <w:t xml:space="preserve"> </w:t>
      </w:r>
      <w:r>
        <w:rPr>
          <w:rFonts w:hint="eastAsia"/>
          <w:kern w:val="0"/>
          <w:szCs w:val="21"/>
        </w:rPr>
        <w:t>通过</w:t>
      </w:r>
      <w:r>
        <w:rPr>
          <w:rFonts w:hint="eastAsia"/>
          <w:color w:val="FF0000"/>
          <w:kern w:val="0"/>
          <w:szCs w:val="21"/>
          <w:u w:val="single"/>
        </w:rPr>
        <w:t>认可的移动卫星业务</w:t>
      </w:r>
      <w:r>
        <w:rPr>
          <w:rFonts w:hint="eastAsia"/>
          <w:strike/>
          <w:color w:val="FF0000"/>
        </w:rPr>
        <w:t>INMARSAT静止卫星业务</w:t>
      </w:r>
      <w:r>
        <w:rPr>
          <w:rFonts w:hint="eastAsia"/>
        </w:rPr>
        <w:t>工作；该要求可由如下设备满足：</w:t>
      </w:r>
    </w:p>
    <w:p>
      <w:r>
        <w:t xml:space="preserve">      .5.1  1</w:t>
      </w:r>
      <w:r>
        <w:rPr>
          <w:rFonts w:hint="eastAsia"/>
        </w:rPr>
        <w:t>台</w:t>
      </w:r>
      <w:r>
        <w:rPr>
          <w:strike/>
          <w:color w:val="FF0000"/>
        </w:rPr>
        <w:t>INMARSAT</w:t>
      </w:r>
      <w:r>
        <w:rPr>
          <w:rFonts w:hint="eastAsia"/>
        </w:rPr>
        <w:t>船舶地面站</w:t>
      </w:r>
      <w:r>
        <w:rPr>
          <w:rFonts w:cs="Calibri"/>
          <w:color w:val="FF0000"/>
          <w:sz w:val="18"/>
          <w:szCs w:val="18"/>
          <w:u w:val="single"/>
          <w:vertAlign w:val="superscript"/>
        </w:rPr>
        <w:t>②</w:t>
      </w:r>
      <w:r>
        <w:rPr>
          <w:rStyle w:val="16"/>
          <w:strike/>
          <w:color w:val="FF0000"/>
        </w:rPr>
        <w:footnoteReference w:id="2"/>
      </w:r>
      <w:r>
        <w:rPr>
          <w:rFonts w:hint="eastAsia"/>
        </w:rPr>
        <w:t>；或</w:t>
      </w:r>
    </w:p>
    <w:p>
      <w:pPr>
        <w:rPr>
          <w:rFonts w:ascii="Times New Roman" w:hAnsi="Times New Roman"/>
          <w:kern w:val="0"/>
          <w:szCs w:val="21"/>
        </w:rPr>
      </w:pPr>
      <w:r>
        <w:t xml:space="preserve">      .5.2</w:t>
      </w:r>
      <w:r>
        <w:rPr>
          <w:rFonts w:hint="eastAsia"/>
        </w:rPr>
        <w:t xml:space="preserve">  按</w:t>
      </w:r>
      <w:r>
        <w:t>14.7.1.6</w:t>
      </w:r>
      <w:r>
        <w:rPr>
          <w:rFonts w:hint="eastAsia"/>
        </w:rPr>
        <w:t>要求的卫星EPIRB。该卫星</w:t>
      </w:r>
      <w:r>
        <w:t>EPIRB</w:t>
      </w:r>
      <w:r>
        <w:rPr>
          <w:rFonts w:hint="eastAsia"/>
        </w:rPr>
        <w:t>应位于靠近船舶通常驾驶的位置，或能从该位置遥控启动。</w:t>
      </w:r>
      <w:r>
        <w:rPr>
          <w:rFonts w:hint="eastAsia" w:ascii="Times New Roman" w:hAnsi="Times New Roman"/>
          <w:kern w:val="0"/>
          <w:szCs w:val="21"/>
        </w:rPr>
        <w:t>”</w:t>
      </w:r>
    </w:p>
    <w:p>
      <w:pPr>
        <w:ind w:firstLine="525" w:firstLineChars="250"/>
        <w:rPr>
          <w:rFonts w:ascii="Times New Roman" w:hAnsi="Times New Roman"/>
          <w:kern w:val="0"/>
          <w:szCs w:val="21"/>
          <w:u w:val="single"/>
        </w:rPr>
      </w:pPr>
    </w:p>
    <w:p>
      <w:pPr>
        <w:pStyle w:val="4"/>
        <w:ind w:firstLine="422" w:firstLineChars="200"/>
        <w:rPr>
          <w:sz w:val="21"/>
          <w:szCs w:val="21"/>
        </w:rPr>
      </w:pPr>
      <w:bookmarkStart w:id="7" w:name="_Toc101878657"/>
      <w:r>
        <w:rPr>
          <w:sz w:val="21"/>
          <w:szCs w:val="21"/>
        </w:rPr>
        <w:t>14.9</w:t>
      </w:r>
      <w:r>
        <w:rPr>
          <w:rFonts w:hint="eastAsia"/>
          <w:sz w:val="21"/>
          <w:szCs w:val="21"/>
        </w:rPr>
        <w:t xml:space="preserve">  无线电设备：</w:t>
      </w:r>
      <w:r>
        <w:rPr>
          <w:sz w:val="21"/>
          <w:szCs w:val="21"/>
        </w:rPr>
        <w:t>A1</w:t>
      </w:r>
      <w:r>
        <w:rPr>
          <w:rFonts w:hint="eastAsia"/>
          <w:sz w:val="21"/>
          <w:szCs w:val="21"/>
        </w:rPr>
        <w:t>和</w:t>
      </w:r>
      <w:r>
        <w:rPr>
          <w:sz w:val="21"/>
          <w:szCs w:val="21"/>
        </w:rPr>
        <w:t>A2</w:t>
      </w:r>
      <w:r>
        <w:rPr>
          <w:rFonts w:hint="eastAsia"/>
          <w:sz w:val="21"/>
          <w:szCs w:val="21"/>
        </w:rPr>
        <w:t>海区</w:t>
      </w:r>
      <w:bookmarkEnd w:id="7"/>
    </w:p>
    <w:p>
      <w:pPr>
        <w:ind w:firstLine="420" w:firstLineChars="200"/>
        <w:rPr>
          <w:rFonts w:ascii="楷体" w:hAnsi="楷体" w:eastAsia="楷体"/>
          <w:szCs w:val="20"/>
        </w:rPr>
      </w:pPr>
      <w:r>
        <w:rPr>
          <w:rFonts w:hint="eastAsia" w:ascii="楷体" w:hAnsi="楷体" w:eastAsia="楷体"/>
          <w:szCs w:val="20"/>
        </w:rPr>
        <w:t>原14.9.1.3.3改为：</w:t>
      </w:r>
    </w:p>
    <w:p>
      <w:pPr>
        <w:ind w:left="1249" w:leftChars="195" w:hanging="840" w:hangingChars="400"/>
        <w:rPr>
          <w:strike/>
          <w:color w:val="FF0000"/>
        </w:rPr>
      </w:pPr>
      <w:r>
        <w:rPr>
          <w:rFonts w:hint="eastAsia"/>
        </w:rPr>
        <w:t>“</w:t>
      </w:r>
      <w:r>
        <w:t xml:space="preserve">.3.3  </w:t>
      </w:r>
      <w:r>
        <w:rPr>
          <w:rFonts w:hint="eastAsia"/>
          <w:color w:val="FF0000"/>
          <w:kern w:val="0"/>
          <w:szCs w:val="21"/>
          <w:u w:val="single"/>
        </w:rPr>
        <w:t>通过经认可的移动卫星业务进行工作。</w:t>
      </w:r>
      <w:r>
        <w:rPr>
          <w:rFonts w:hint="eastAsia"/>
          <w:strike/>
          <w:color w:val="FF0000"/>
        </w:rPr>
        <w:t>通过</w:t>
      </w:r>
      <w:r>
        <w:rPr>
          <w:strike/>
          <w:color w:val="FF0000"/>
        </w:rPr>
        <w:t>INMARSAT</w:t>
      </w:r>
      <w:r>
        <w:rPr>
          <w:rFonts w:hint="eastAsia"/>
          <w:strike/>
          <w:color w:val="FF0000"/>
        </w:rPr>
        <w:t>静止卫星业务进行工作；此要求可由下列方式来满足：</w:t>
      </w:r>
    </w:p>
    <w:p>
      <w:pPr>
        <w:ind w:firstLine="210" w:firstLineChars="100"/>
        <w:rPr>
          <w:strike/>
          <w:color w:val="FF0000"/>
        </w:rPr>
      </w:pPr>
      <w:r>
        <w:rPr>
          <w:color w:val="FF0000"/>
        </w:rPr>
        <w:t xml:space="preserve">     </w:t>
      </w:r>
      <w:r>
        <w:rPr>
          <w:strike/>
          <w:color w:val="FF0000"/>
        </w:rPr>
        <w:t xml:space="preserve"> .3.3.1</w:t>
      </w:r>
      <w:r>
        <w:rPr>
          <w:rFonts w:hint="eastAsia"/>
          <w:strike/>
          <w:color w:val="FF0000"/>
        </w:rPr>
        <w:t xml:space="preserve">  按</w:t>
      </w:r>
      <w:r>
        <w:rPr>
          <w:strike/>
          <w:color w:val="FF0000"/>
        </w:rPr>
        <w:t>14.9.3.2</w:t>
      </w:r>
      <w:r>
        <w:rPr>
          <w:rFonts w:hint="eastAsia"/>
          <w:strike/>
          <w:color w:val="FF0000"/>
        </w:rPr>
        <w:t>所述设备；或</w:t>
      </w:r>
    </w:p>
    <w:p>
      <w:pPr>
        <w:ind w:left="1680" w:leftChars="100" w:hanging="1470" w:hangingChars="700"/>
      </w:pPr>
      <w:r>
        <w:rPr>
          <w:color w:val="FF0000"/>
        </w:rPr>
        <w:t xml:space="preserve">     </w:t>
      </w:r>
      <w:r>
        <w:rPr>
          <w:strike/>
          <w:color w:val="FF0000"/>
        </w:rPr>
        <w:t xml:space="preserve"> .3.3.2</w:t>
      </w:r>
      <w:r>
        <w:rPr>
          <w:rFonts w:hint="eastAsia"/>
          <w:strike/>
          <w:color w:val="FF0000"/>
        </w:rPr>
        <w:t xml:space="preserve">  按</w:t>
      </w:r>
      <w:r>
        <w:rPr>
          <w:strike/>
          <w:color w:val="FF0000"/>
        </w:rPr>
        <w:t>14.7.1.6</w:t>
      </w:r>
      <w:r>
        <w:rPr>
          <w:rFonts w:hint="eastAsia"/>
          <w:strike/>
          <w:color w:val="FF0000"/>
        </w:rPr>
        <w:t>所要求的卫星</w:t>
      </w:r>
      <w:r>
        <w:rPr>
          <w:strike/>
          <w:color w:val="FF0000"/>
        </w:rPr>
        <w:t>EPIRB</w:t>
      </w:r>
      <w:r>
        <w:rPr>
          <w:rFonts w:hint="eastAsia"/>
          <w:strike/>
          <w:color w:val="FF0000"/>
        </w:rPr>
        <w:t>。该卫星</w:t>
      </w:r>
      <w:r>
        <w:rPr>
          <w:strike/>
          <w:color w:val="FF0000"/>
        </w:rPr>
        <w:t>EPIRB</w:t>
      </w:r>
      <w:r>
        <w:rPr>
          <w:rFonts w:hint="eastAsia"/>
          <w:strike/>
          <w:color w:val="FF0000"/>
        </w:rPr>
        <w:t>应位于靠近船舶通常驾驶的位置或能从该位置遥控启动。</w:t>
      </w:r>
      <w:r>
        <w:rPr>
          <w:rFonts w:hint="eastAsia"/>
        </w:rPr>
        <w:t>”</w:t>
      </w:r>
    </w:p>
    <w:p/>
    <w:p>
      <w:pPr>
        <w:ind w:firstLine="420" w:firstLineChars="200"/>
        <w:rPr>
          <w:rFonts w:ascii="楷体" w:hAnsi="楷体" w:eastAsia="楷体"/>
          <w:szCs w:val="20"/>
        </w:rPr>
      </w:pPr>
      <w:r>
        <w:rPr>
          <w:rFonts w:hint="eastAsia" w:ascii="楷体" w:hAnsi="楷体" w:eastAsia="楷体"/>
          <w:szCs w:val="20"/>
        </w:rPr>
        <w:t>原14.9.3.2改为：</w:t>
      </w:r>
    </w:p>
    <w:p>
      <w:pPr>
        <w:ind w:firstLine="420" w:firstLineChars="200"/>
      </w:pPr>
      <w:r>
        <w:rPr>
          <w:rFonts w:hint="eastAsia"/>
        </w:rPr>
        <w:t>“</w:t>
      </w:r>
      <w:r>
        <w:t xml:space="preserve">.2  </w:t>
      </w:r>
      <w:r>
        <w:rPr>
          <w:rFonts w:hint="eastAsia"/>
          <w:kern w:val="0"/>
          <w:szCs w:val="21"/>
        </w:rPr>
        <w:t>1台</w:t>
      </w:r>
      <w:r>
        <w:rPr>
          <w:rFonts w:hint="eastAsia"/>
          <w:color w:val="FF0000"/>
          <w:kern w:val="0"/>
          <w:szCs w:val="21"/>
          <w:u w:val="single"/>
        </w:rPr>
        <w:t>认可的移动卫星业务</w:t>
      </w:r>
      <w:r>
        <w:rPr>
          <w:strike/>
          <w:color w:val="FF0000"/>
        </w:rPr>
        <w:t>INMARSAT</w:t>
      </w:r>
      <w:r>
        <w:rPr>
          <w:rFonts w:hint="eastAsia"/>
          <w:kern w:val="0"/>
          <w:szCs w:val="21"/>
        </w:rPr>
        <w:t>船舶地面站。</w:t>
      </w:r>
      <w:r>
        <w:rPr>
          <w:rFonts w:hint="eastAsia"/>
        </w:rPr>
        <w:t>”</w:t>
      </w:r>
    </w:p>
    <w:p/>
    <w:p>
      <w:pPr>
        <w:pStyle w:val="4"/>
        <w:ind w:firstLine="422" w:firstLineChars="200"/>
        <w:rPr>
          <w:sz w:val="21"/>
          <w:szCs w:val="21"/>
        </w:rPr>
      </w:pPr>
      <w:bookmarkStart w:id="8" w:name="_Toc101878658"/>
      <w:r>
        <w:rPr>
          <w:sz w:val="21"/>
          <w:szCs w:val="21"/>
        </w:rPr>
        <w:t>14.10</w:t>
      </w:r>
      <w:r>
        <w:rPr>
          <w:rFonts w:hint="eastAsia"/>
          <w:sz w:val="21"/>
          <w:szCs w:val="21"/>
        </w:rPr>
        <w:t xml:space="preserve">  无线电设备：</w:t>
      </w:r>
      <w:r>
        <w:rPr>
          <w:sz w:val="21"/>
          <w:szCs w:val="21"/>
        </w:rPr>
        <w:t>A1</w:t>
      </w:r>
      <w:r>
        <w:rPr>
          <w:rFonts w:hint="eastAsia"/>
          <w:sz w:val="21"/>
          <w:szCs w:val="21"/>
        </w:rPr>
        <w:t>、</w:t>
      </w:r>
      <w:r>
        <w:rPr>
          <w:sz w:val="21"/>
          <w:szCs w:val="21"/>
        </w:rPr>
        <w:t>A2</w:t>
      </w:r>
      <w:r>
        <w:rPr>
          <w:rFonts w:hint="eastAsia"/>
          <w:sz w:val="21"/>
          <w:szCs w:val="21"/>
        </w:rPr>
        <w:t>和</w:t>
      </w:r>
      <w:r>
        <w:rPr>
          <w:sz w:val="21"/>
          <w:szCs w:val="21"/>
        </w:rPr>
        <w:t>A3</w:t>
      </w:r>
      <w:r>
        <w:rPr>
          <w:rFonts w:hint="eastAsia"/>
          <w:sz w:val="21"/>
          <w:szCs w:val="21"/>
        </w:rPr>
        <w:t>海区</w:t>
      </w:r>
      <w:bookmarkEnd w:id="8"/>
    </w:p>
    <w:p>
      <w:pPr>
        <w:ind w:firstLine="420" w:firstLineChars="200"/>
        <w:rPr>
          <w:rFonts w:ascii="楷体" w:hAnsi="楷体" w:eastAsia="楷体"/>
          <w:szCs w:val="20"/>
        </w:rPr>
      </w:pPr>
      <w:r>
        <w:rPr>
          <w:rFonts w:hint="eastAsia" w:ascii="楷体" w:hAnsi="楷体" w:eastAsia="楷体"/>
          <w:szCs w:val="20"/>
        </w:rPr>
        <w:t>原14.10.1.1改为：</w:t>
      </w:r>
    </w:p>
    <w:p>
      <w:pPr>
        <w:ind w:firstLine="420" w:firstLineChars="200"/>
      </w:pPr>
      <w:r>
        <w:rPr>
          <w:rFonts w:hint="eastAsia"/>
        </w:rPr>
        <w:t>“</w:t>
      </w:r>
      <w:r>
        <w:t xml:space="preserve">.1  </w:t>
      </w:r>
      <w:r>
        <w:rPr>
          <w:rFonts w:hint="eastAsia"/>
          <w:kern w:val="0"/>
          <w:szCs w:val="21"/>
        </w:rPr>
        <w:t>1台</w:t>
      </w:r>
      <w:r>
        <w:rPr>
          <w:rFonts w:hint="eastAsia"/>
          <w:color w:val="FF0000"/>
          <w:kern w:val="0"/>
          <w:szCs w:val="21"/>
          <w:u w:val="single"/>
        </w:rPr>
        <w:t>认可的移动卫星业务</w:t>
      </w:r>
      <w:r>
        <w:rPr>
          <w:strike/>
          <w:color w:val="FF0000"/>
        </w:rPr>
        <w:t>INMARSAT</w:t>
      </w:r>
      <w:r>
        <w:rPr>
          <w:rFonts w:hint="eastAsia"/>
          <w:kern w:val="0"/>
          <w:szCs w:val="21"/>
        </w:rPr>
        <w:t>船舶地面站，且能够：</w:t>
      </w:r>
      <w:r>
        <w:rPr>
          <w:rFonts w:hint="eastAsia"/>
        </w:rPr>
        <w:t>”</w:t>
      </w:r>
    </w:p>
    <w:p/>
    <w:p>
      <w:pPr>
        <w:ind w:firstLine="420" w:firstLineChars="200"/>
        <w:rPr>
          <w:rFonts w:ascii="楷体" w:hAnsi="楷体" w:eastAsia="楷体"/>
          <w:szCs w:val="20"/>
        </w:rPr>
      </w:pPr>
      <w:r>
        <w:rPr>
          <w:rFonts w:hint="eastAsia" w:ascii="楷体" w:hAnsi="楷体" w:eastAsia="楷体"/>
          <w:szCs w:val="20"/>
        </w:rPr>
        <w:t>原</w:t>
      </w:r>
      <w:r>
        <w:rPr>
          <w:rFonts w:ascii="楷体" w:hAnsi="楷体" w:eastAsia="楷体"/>
          <w:szCs w:val="20"/>
        </w:rPr>
        <w:t>14.10.1.4</w:t>
      </w:r>
      <w:r>
        <w:rPr>
          <w:rFonts w:hint="eastAsia" w:ascii="楷体" w:hAnsi="楷体" w:eastAsia="楷体"/>
          <w:szCs w:val="20"/>
        </w:rPr>
        <w:t>.3改为：</w:t>
      </w:r>
    </w:p>
    <w:p>
      <w:pPr>
        <w:ind w:firstLine="420" w:firstLineChars="200"/>
      </w:pPr>
      <w:r>
        <w:rPr>
          <w:rFonts w:hint="eastAsia"/>
        </w:rPr>
        <w:t>“</w:t>
      </w:r>
      <w:r>
        <w:t xml:space="preserve">.4.3 </w:t>
      </w:r>
      <w:r>
        <w:rPr>
          <w:rFonts w:hint="eastAsia" w:ascii="宋体" w:cs="宋体"/>
          <w:color w:val="FF0000"/>
          <w:kern w:val="0"/>
          <w:szCs w:val="21"/>
          <w:u w:val="single"/>
        </w:rPr>
        <w:t>通过增加</w:t>
      </w:r>
      <w:r>
        <w:rPr>
          <w:rFonts w:ascii="TimesNewRomanPSMT" w:hAnsi="TimesNewRomanPSMT" w:cs="TimesNewRomanPSMT"/>
          <w:color w:val="FF0000"/>
          <w:kern w:val="0"/>
          <w:szCs w:val="21"/>
          <w:u w:val="single"/>
        </w:rPr>
        <w:t>1</w:t>
      </w:r>
      <w:r>
        <w:rPr>
          <w:rFonts w:hint="eastAsia" w:ascii="宋体" w:cs="宋体"/>
          <w:color w:val="FF0000"/>
          <w:kern w:val="0"/>
          <w:szCs w:val="21"/>
          <w:u w:val="single"/>
        </w:rPr>
        <w:t>台</w:t>
      </w:r>
      <w:r>
        <w:rPr>
          <w:rFonts w:hint="eastAsia"/>
          <w:color w:val="FF0000"/>
          <w:kern w:val="0"/>
          <w:szCs w:val="21"/>
          <w:u w:val="single"/>
        </w:rPr>
        <w:t>认可的移动卫星业务</w:t>
      </w:r>
      <w:r>
        <w:rPr>
          <w:rFonts w:hint="eastAsia" w:ascii="宋体" w:cs="宋体"/>
          <w:color w:val="FF0000"/>
          <w:kern w:val="0"/>
          <w:szCs w:val="21"/>
          <w:u w:val="single"/>
        </w:rPr>
        <w:t>船舶地面站</w:t>
      </w:r>
      <w:r>
        <w:rPr>
          <w:rFonts w:hint="eastAsia"/>
          <w:color w:val="FF0000"/>
          <w:kern w:val="0"/>
          <w:szCs w:val="21"/>
          <w:u w:val="single"/>
        </w:rPr>
        <w:t>进行工作。</w:t>
      </w:r>
      <w:r>
        <w:rPr>
          <w:rFonts w:hint="eastAsia"/>
          <w:strike/>
          <w:color w:val="FF0000"/>
        </w:rPr>
        <w:t>由</w:t>
      </w:r>
      <w:r>
        <w:rPr>
          <w:strike/>
          <w:color w:val="FF0000"/>
        </w:rPr>
        <w:t>1</w:t>
      </w:r>
      <w:r>
        <w:rPr>
          <w:rFonts w:hint="eastAsia"/>
          <w:strike/>
          <w:color w:val="FF0000"/>
        </w:rPr>
        <w:t>台附加的船舶地面站或</w:t>
      </w:r>
      <w:r>
        <w:rPr>
          <w:strike/>
          <w:color w:val="FF0000"/>
        </w:rPr>
        <w:t>14.7.1.6</w:t>
      </w:r>
      <w:r>
        <w:rPr>
          <w:rFonts w:hint="eastAsia"/>
          <w:strike/>
          <w:color w:val="FF0000"/>
        </w:rPr>
        <w:t>所要求的卫星</w:t>
      </w:r>
      <w:r>
        <w:rPr>
          <w:strike/>
          <w:color w:val="FF0000"/>
        </w:rPr>
        <w:t>EPIRB</w:t>
      </w:r>
      <w:r>
        <w:rPr>
          <w:rFonts w:hint="eastAsia"/>
          <w:strike/>
          <w:color w:val="FF0000"/>
        </w:rPr>
        <w:t>，通过</w:t>
      </w:r>
      <w:r>
        <w:rPr>
          <w:strike/>
          <w:color w:val="FF0000"/>
        </w:rPr>
        <w:t>INMASAT</w:t>
      </w:r>
      <w:r>
        <w:rPr>
          <w:rFonts w:hint="eastAsia"/>
          <w:strike/>
          <w:color w:val="FF0000"/>
        </w:rPr>
        <w:t>静止卫星业务进行工作。该卫星</w:t>
      </w:r>
      <w:r>
        <w:rPr>
          <w:strike/>
          <w:color w:val="FF0000"/>
        </w:rPr>
        <w:t>EPIRB</w:t>
      </w:r>
      <w:r>
        <w:rPr>
          <w:rFonts w:hint="eastAsia"/>
          <w:strike/>
          <w:color w:val="FF0000"/>
        </w:rPr>
        <w:t>应位于靠近船舶通常驾驶的位置，或可以从该位置遥控启动。</w:t>
      </w:r>
      <w:r>
        <w:rPr>
          <w:rFonts w:hint="eastAsia"/>
        </w:rPr>
        <w:t>”</w:t>
      </w:r>
      <w:r>
        <w:rPr>
          <w:rFonts w:hint="eastAsia" w:ascii="宋体" w:hAnsi="宋体" w:cs="宋体"/>
        </w:rPr>
        <w:t></w:t>
      </w:r>
    </w:p>
    <w:p/>
    <w:p>
      <w:pPr>
        <w:ind w:firstLine="420" w:firstLineChars="200"/>
        <w:rPr>
          <w:rFonts w:ascii="楷体" w:hAnsi="楷体" w:eastAsia="楷体"/>
          <w:szCs w:val="20"/>
        </w:rPr>
      </w:pPr>
      <w:r>
        <w:rPr>
          <w:rFonts w:hint="eastAsia" w:ascii="楷体" w:hAnsi="楷体" w:eastAsia="楷体"/>
          <w:szCs w:val="20"/>
        </w:rPr>
        <w:t>原</w:t>
      </w:r>
      <w:r>
        <w:rPr>
          <w:rFonts w:ascii="楷体" w:hAnsi="楷体" w:eastAsia="楷体"/>
          <w:szCs w:val="20"/>
        </w:rPr>
        <w:t>14.10.2.</w:t>
      </w:r>
      <w:r>
        <w:rPr>
          <w:rFonts w:hint="eastAsia" w:ascii="楷体" w:hAnsi="楷体" w:eastAsia="楷体"/>
          <w:szCs w:val="20"/>
        </w:rPr>
        <w:t>3.2改为：</w:t>
      </w:r>
    </w:p>
    <w:p>
      <w:pPr>
        <w:ind w:firstLine="420" w:firstLineChars="200"/>
        <w:rPr>
          <w:strike/>
          <w:color w:val="FF0000"/>
        </w:rPr>
      </w:pPr>
      <w:r>
        <w:rPr>
          <w:rFonts w:hint="eastAsia"/>
        </w:rPr>
        <w:t>“</w:t>
      </w:r>
      <w:r>
        <w:t xml:space="preserve">.3.2 </w:t>
      </w:r>
      <w:r>
        <w:rPr>
          <w:rFonts w:hint="eastAsia"/>
          <w:color w:val="FF0000"/>
          <w:kern w:val="0"/>
          <w:szCs w:val="21"/>
          <w:u w:val="single"/>
        </w:rPr>
        <w:t>通过认可的移动卫星业务船舶地面站进行工作；</w:t>
      </w:r>
      <w:r>
        <w:rPr>
          <w:rFonts w:hint="eastAsia"/>
          <w:strike/>
          <w:color w:val="FF0000"/>
        </w:rPr>
        <w:t>通过</w:t>
      </w:r>
      <w:r>
        <w:rPr>
          <w:strike/>
          <w:color w:val="FF0000"/>
        </w:rPr>
        <w:t>INMARSAT</w:t>
      </w:r>
      <w:r>
        <w:rPr>
          <w:rFonts w:hint="eastAsia"/>
          <w:strike/>
          <w:color w:val="FF0000"/>
        </w:rPr>
        <w:t>静止卫星业务进行工作，该要求可由如下方式来满足：</w:t>
      </w:r>
    </w:p>
    <w:p>
      <w:pPr>
        <w:rPr>
          <w:strike/>
          <w:color w:val="FF0000"/>
        </w:rPr>
      </w:pPr>
      <w:r>
        <w:rPr>
          <w:color w:val="FF0000"/>
        </w:rPr>
        <w:t xml:space="preserve">      </w:t>
      </w:r>
      <w:r>
        <w:rPr>
          <w:strike/>
          <w:color w:val="FF0000"/>
        </w:rPr>
        <w:t xml:space="preserve"> .3.2.1  1</w:t>
      </w:r>
      <w:r>
        <w:rPr>
          <w:rFonts w:hint="eastAsia"/>
          <w:strike/>
          <w:color w:val="FF0000"/>
        </w:rPr>
        <w:t>台</w:t>
      </w:r>
      <w:r>
        <w:rPr>
          <w:strike/>
          <w:color w:val="FF0000"/>
        </w:rPr>
        <w:t>INMARSAT</w:t>
      </w:r>
      <w:r>
        <w:rPr>
          <w:rFonts w:hint="eastAsia"/>
          <w:strike/>
          <w:color w:val="FF0000"/>
        </w:rPr>
        <w:t>船舶地面站；或</w:t>
      </w:r>
    </w:p>
    <w:p>
      <w:pPr>
        <w:ind w:left="1470" w:hanging="1470" w:hangingChars="700"/>
      </w:pPr>
      <w:r>
        <w:rPr>
          <w:color w:val="FF0000"/>
        </w:rPr>
        <w:t xml:space="preserve">      </w:t>
      </w:r>
      <w:r>
        <w:rPr>
          <w:strike/>
          <w:color w:val="FF0000"/>
        </w:rPr>
        <w:t xml:space="preserve"> .3.2.2</w:t>
      </w:r>
      <w:r>
        <w:rPr>
          <w:rFonts w:hint="eastAsia"/>
          <w:strike/>
          <w:color w:val="FF0000"/>
        </w:rPr>
        <w:t xml:space="preserve">  按</w:t>
      </w:r>
      <w:r>
        <w:rPr>
          <w:strike/>
          <w:color w:val="FF0000"/>
        </w:rPr>
        <w:t>14.7.1.6</w:t>
      </w:r>
      <w:r>
        <w:rPr>
          <w:rFonts w:hint="eastAsia"/>
          <w:strike/>
          <w:color w:val="FF0000"/>
        </w:rPr>
        <w:t>所要求的卫星</w:t>
      </w:r>
      <w:r>
        <w:rPr>
          <w:strike/>
          <w:color w:val="FF0000"/>
        </w:rPr>
        <w:t>EPIRB</w:t>
      </w:r>
      <w:r>
        <w:rPr>
          <w:rFonts w:hint="eastAsia"/>
          <w:strike/>
          <w:color w:val="FF0000"/>
        </w:rPr>
        <w:t>。该卫星</w:t>
      </w:r>
      <w:r>
        <w:rPr>
          <w:strike/>
          <w:color w:val="FF0000"/>
        </w:rPr>
        <w:t>EPIRB</w:t>
      </w:r>
      <w:r>
        <w:rPr>
          <w:rFonts w:hint="eastAsia"/>
          <w:strike/>
          <w:color w:val="FF0000"/>
        </w:rPr>
        <w:t>应位于靠近船舶通常驾驶的位置，或可以从该位置遥控启动；和</w:t>
      </w:r>
      <w:r>
        <w:rPr>
          <w:rFonts w:hint="eastAsia"/>
        </w:rPr>
        <w:t>”</w:t>
      </w:r>
    </w:p>
    <w:p>
      <w:pPr>
        <w:ind w:left="1470" w:hanging="1470" w:hangingChars="700"/>
      </w:pPr>
    </w:p>
    <w:p>
      <w:pPr>
        <w:pStyle w:val="4"/>
        <w:ind w:firstLine="422" w:firstLineChars="200"/>
        <w:rPr>
          <w:sz w:val="21"/>
          <w:szCs w:val="21"/>
        </w:rPr>
      </w:pPr>
      <w:bookmarkStart w:id="9" w:name="_Toc101878659"/>
      <w:r>
        <w:rPr>
          <w:sz w:val="21"/>
          <w:szCs w:val="21"/>
        </w:rPr>
        <w:t>14.12</w:t>
      </w:r>
      <w:r>
        <w:rPr>
          <w:rFonts w:hint="eastAsia"/>
          <w:sz w:val="21"/>
          <w:szCs w:val="21"/>
        </w:rPr>
        <w:t xml:space="preserve">  值班</w:t>
      </w:r>
      <w:bookmarkEnd w:id="9"/>
    </w:p>
    <w:p>
      <w:pPr>
        <w:ind w:firstLine="420" w:firstLineChars="200"/>
        <w:rPr>
          <w:rFonts w:ascii="楷体" w:hAnsi="楷体" w:eastAsia="楷体"/>
          <w:szCs w:val="20"/>
        </w:rPr>
      </w:pPr>
      <w:r>
        <w:rPr>
          <w:rFonts w:hint="eastAsia" w:ascii="楷体" w:hAnsi="楷体" w:eastAsia="楷体"/>
          <w:szCs w:val="20"/>
        </w:rPr>
        <w:t>原</w:t>
      </w:r>
      <w:r>
        <w:rPr>
          <w:rFonts w:ascii="楷体" w:hAnsi="楷体" w:eastAsia="楷体"/>
          <w:szCs w:val="20"/>
        </w:rPr>
        <w:t>14.12.1</w:t>
      </w:r>
      <w:r>
        <w:rPr>
          <w:rFonts w:hint="eastAsia" w:ascii="楷体" w:hAnsi="楷体" w:eastAsia="楷体"/>
          <w:szCs w:val="20"/>
        </w:rPr>
        <w:t>.4改为：</w:t>
      </w:r>
    </w:p>
    <w:p>
      <w:pPr>
        <w:ind w:firstLine="420" w:firstLineChars="200"/>
      </w:pPr>
      <w:r>
        <w:rPr>
          <w:rFonts w:hint="eastAsia"/>
        </w:rPr>
        <w:t>“</w:t>
      </w:r>
      <w:r>
        <w:t xml:space="preserve">.4 </w:t>
      </w:r>
      <w:r>
        <w:rPr>
          <w:rFonts w:hint="eastAsia"/>
          <w:color w:val="FF0000"/>
          <w:kern w:val="0"/>
          <w:szCs w:val="21"/>
          <w:u w:val="single"/>
        </w:rPr>
        <w:t>根据14.10.1.1的要求，如该船安装有认可的移动卫星业务船舶地面站，应对卫星岸对船的遇险警报保持连续值班。</w:t>
      </w:r>
      <w:r>
        <w:rPr>
          <w:rFonts w:hint="eastAsia"/>
          <w:strike/>
          <w:color w:val="FF0000"/>
        </w:rPr>
        <w:t>按照</w:t>
      </w:r>
      <w:r>
        <w:rPr>
          <w:strike/>
          <w:color w:val="FF0000"/>
        </w:rPr>
        <w:t>14.10.1.1</w:t>
      </w:r>
      <w:r>
        <w:rPr>
          <w:rFonts w:hint="eastAsia"/>
          <w:strike/>
          <w:color w:val="FF0000"/>
        </w:rPr>
        <w:t>的要求，安装有</w:t>
      </w:r>
      <w:r>
        <w:rPr>
          <w:strike/>
          <w:color w:val="FF0000"/>
        </w:rPr>
        <w:t>INMARSAT</w:t>
      </w:r>
      <w:r>
        <w:rPr>
          <w:rFonts w:hint="eastAsia"/>
          <w:strike/>
          <w:color w:val="FF0000"/>
        </w:rPr>
        <w:t>船舶地面站的船舶，应对卫星岸对船的遇险警报保持连续监听值班。</w:t>
      </w:r>
      <w:r>
        <w:rPr>
          <w:rFonts w:hint="eastAsia"/>
        </w:rPr>
        <w:t>”</w:t>
      </w:r>
    </w:p>
    <w:p/>
    <w:p>
      <w:pPr>
        <w:pStyle w:val="4"/>
        <w:ind w:firstLine="422" w:firstLineChars="200"/>
        <w:rPr>
          <w:sz w:val="21"/>
          <w:szCs w:val="21"/>
        </w:rPr>
      </w:pPr>
      <w:bookmarkStart w:id="10" w:name="_Toc101878660"/>
      <w:r>
        <w:rPr>
          <w:sz w:val="21"/>
          <w:szCs w:val="21"/>
        </w:rPr>
        <w:t>14.13</w:t>
      </w:r>
      <w:r>
        <w:rPr>
          <w:rFonts w:hint="eastAsia"/>
          <w:sz w:val="21"/>
          <w:szCs w:val="21"/>
        </w:rPr>
        <w:t xml:space="preserve">  电源</w:t>
      </w:r>
      <w:bookmarkEnd w:id="10"/>
    </w:p>
    <w:p>
      <w:pPr>
        <w:ind w:firstLine="420" w:firstLineChars="200"/>
        <w:rPr>
          <w:rFonts w:ascii="楷体" w:hAnsi="楷体" w:eastAsia="楷体"/>
          <w:szCs w:val="20"/>
        </w:rPr>
      </w:pPr>
      <w:r>
        <w:rPr>
          <w:rFonts w:hint="eastAsia" w:ascii="楷体" w:hAnsi="楷体" w:eastAsia="楷体"/>
          <w:szCs w:val="20"/>
        </w:rPr>
        <w:t>原14.13.2改为：</w:t>
      </w:r>
    </w:p>
    <w:p>
      <w:pPr>
        <w:ind w:firstLine="420" w:firstLineChars="200"/>
      </w:pPr>
      <w:r>
        <w:rPr>
          <w:rFonts w:hint="eastAsia"/>
        </w:rPr>
        <w:t>“14.3.2 每艘船舶应配备备用应急电源，当船舶主电源和应急电源故障时，向无线电装置供电，以便进行遇险和安全通信。该备用电源应能同时操作</w:t>
      </w:r>
      <w:r>
        <w:t>14.7.11</w:t>
      </w:r>
      <w:r>
        <w:rPr>
          <w:rFonts w:hint="eastAsia" w:ascii="宋体" w:hAnsi="宋体" w:cs="宋体"/>
        </w:rPr>
        <w:t>所要求的</w:t>
      </w:r>
      <w:r>
        <w:t>VHF</w:t>
      </w:r>
      <w:r>
        <w:rPr>
          <w:rFonts w:hint="eastAsia"/>
        </w:rPr>
        <w:t>无线电装置和，如适合，视船舶为之配备的海域而定，</w:t>
      </w:r>
      <w:r>
        <w:t>14.9.1.1</w:t>
      </w:r>
      <w:r>
        <w:rPr>
          <w:rFonts w:hint="eastAsia"/>
        </w:rPr>
        <w:t>所要求</w:t>
      </w:r>
      <w:r>
        <w:t xml:space="preserve"> </w:t>
      </w:r>
      <w:r>
        <w:rPr>
          <w:rFonts w:hint="eastAsia"/>
        </w:rPr>
        <w:t>的</w:t>
      </w:r>
      <w:r>
        <w:t xml:space="preserve">MF </w:t>
      </w:r>
      <w:r>
        <w:rPr>
          <w:rFonts w:hint="eastAsia"/>
        </w:rPr>
        <w:t>无线电装置，</w:t>
      </w:r>
      <w:r>
        <w:t>14.10.2.1</w:t>
      </w:r>
      <w:r>
        <w:rPr>
          <w:rFonts w:hint="eastAsia"/>
        </w:rPr>
        <w:t>或</w:t>
      </w:r>
      <w:r>
        <w:t>14.11.1</w:t>
      </w:r>
      <w:r>
        <w:rPr>
          <w:rFonts w:hint="eastAsia"/>
        </w:rPr>
        <w:t>所要求的</w:t>
      </w:r>
      <w:r>
        <w:t>MF/HF</w:t>
      </w:r>
      <w:r>
        <w:rPr>
          <w:rFonts w:hint="eastAsia"/>
        </w:rPr>
        <w:t>无线电装置，或</w:t>
      </w:r>
      <w:r>
        <w:t>14.10.1.1</w:t>
      </w:r>
      <w:r>
        <w:rPr>
          <w:rFonts w:hint="eastAsia"/>
        </w:rPr>
        <w:t>所要求的</w:t>
      </w:r>
      <w:r>
        <w:rPr>
          <w:strike/>
          <w:color w:val="FF0000"/>
        </w:rPr>
        <w:t>INMARSAT</w:t>
      </w:r>
      <w:r>
        <w:rPr>
          <w:rFonts w:hint="eastAsia"/>
        </w:rPr>
        <w:t>船舶地面站，以及</w:t>
      </w:r>
      <w:r>
        <w:t>14.13.5</w:t>
      </w:r>
      <w:r>
        <w:rPr>
          <w:rFonts w:hint="eastAsia"/>
        </w:rPr>
        <w:t>和</w:t>
      </w:r>
      <w:r>
        <w:t>14.13.8</w:t>
      </w:r>
      <w:r>
        <w:rPr>
          <w:rFonts w:hint="eastAsia"/>
        </w:rPr>
        <w:t>所述的任何附加负载，其供电时间至少为</w:t>
      </w:r>
      <w:r>
        <w:t>1h</w:t>
      </w:r>
      <w:r>
        <w:rPr>
          <w:rFonts w:hint="eastAsia"/>
        </w:rPr>
        <w:t>。”</w:t>
      </w:r>
    </w:p>
    <w:p/>
    <w:p/>
    <w:sectPr>
      <w:footerReference r:id="rId5" w:type="default"/>
      <w:footnotePr>
        <w:numFmt w:val="decimalEnclosedCircleChinese"/>
      </w:footnote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rPr>
          <w:strike/>
          <w:color w:val="FF0000"/>
        </w:rPr>
      </w:pPr>
      <w:r>
        <w:rPr>
          <w:rStyle w:val="16"/>
          <w:strike/>
          <w:color w:val="FF0000"/>
        </w:rPr>
        <w:footnoteRef/>
      </w:r>
      <w:r>
        <w:rPr>
          <w:rFonts w:hint="eastAsia"/>
          <w:strike/>
          <w:color w:val="FF0000"/>
        </w:rPr>
        <w:t>参见</w:t>
      </w:r>
      <w:r>
        <w:rPr>
          <w:strike/>
          <w:color w:val="FF0000"/>
        </w:rPr>
        <w:t>IMO A.701(17)</w:t>
      </w:r>
      <w:r>
        <w:rPr>
          <w:rFonts w:hint="eastAsia"/>
          <w:strike/>
          <w:color w:val="FF0000"/>
        </w:rPr>
        <w:t>决议案“关于</w:t>
      </w:r>
      <w:r>
        <w:rPr>
          <w:strike/>
          <w:color w:val="FF0000"/>
        </w:rPr>
        <w:t>GMDSS</w:t>
      </w:r>
      <w:r>
        <w:rPr>
          <w:rFonts w:hint="eastAsia"/>
          <w:strike/>
          <w:color w:val="FF0000"/>
        </w:rPr>
        <w:t>中</w:t>
      </w:r>
      <w:r>
        <w:rPr>
          <w:strike/>
          <w:color w:val="FF0000"/>
        </w:rPr>
        <w:t>INMARSAT</w:t>
      </w:r>
      <w:r>
        <w:rPr>
          <w:rFonts w:hint="eastAsia"/>
          <w:strike/>
          <w:color w:val="FF0000"/>
        </w:rPr>
        <w:t>增强型群呼安全通信网接收器</w:t>
      </w:r>
      <w:r>
        <w:rPr>
          <w:strike/>
          <w:color w:val="FF0000"/>
        </w:rPr>
        <w:t>”</w:t>
      </w:r>
      <w:r>
        <w:rPr>
          <w:rFonts w:hint="eastAsia"/>
          <w:strike/>
          <w:color w:val="FF0000"/>
        </w:rPr>
        <w:t>。</w:t>
      </w:r>
    </w:p>
  </w:footnote>
  <w:footnote w:id="1">
    <w:p>
      <w:pPr>
        <w:pStyle w:val="10"/>
      </w:pPr>
      <w:r>
        <w:rPr>
          <w:rStyle w:val="16"/>
          <w:strike/>
          <w:color w:val="FF0000"/>
        </w:rPr>
        <w:footnoteRef/>
      </w:r>
      <w:r>
        <w:rPr>
          <w:rFonts w:hint="eastAsia" w:cs="Calibri"/>
          <w:color w:val="FF0000"/>
          <w:u w:val="single"/>
          <w:vertAlign w:val="superscript"/>
        </w:rPr>
        <w:t>①</w:t>
      </w:r>
      <w:r>
        <w:rPr>
          <w:rFonts w:hint="eastAsia"/>
        </w:rPr>
        <w:t>参见国际海事组织</w:t>
      </w:r>
      <w:r>
        <w:t>IMO A.705(17)</w:t>
      </w:r>
      <w:r>
        <w:rPr>
          <w:rFonts w:hint="eastAsia"/>
        </w:rPr>
        <w:t>决议案：</w:t>
      </w:r>
      <w:r>
        <w:t>“</w:t>
      </w:r>
      <w:r>
        <w:rPr>
          <w:rFonts w:hint="eastAsia"/>
        </w:rPr>
        <w:t>关于发布海上安全信息的建议案</w:t>
      </w:r>
      <w:r>
        <w:t>”</w:t>
      </w:r>
      <w:r>
        <w:rPr>
          <w:rFonts w:hint="eastAsia"/>
        </w:rPr>
        <w:t>。</w:t>
      </w:r>
    </w:p>
    <w:p>
      <w:pPr>
        <w:widowControl/>
        <w:jc w:val="left"/>
      </w:pPr>
      <w:r>
        <w:rPr>
          <w:rFonts w:hint="eastAsia" w:cs="Calibri"/>
          <w:color w:val="FF0000"/>
          <w:sz w:val="18"/>
          <w:szCs w:val="18"/>
          <w:u w:val="single"/>
          <w:vertAlign w:val="superscript"/>
        </w:rPr>
        <w:t>②</w:t>
      </w:r>
      <w:r>
        <w:rPr>
          <w:rFonts w:hint="eastAsia"/>
          <w:color w:val="FF0000"/>
          <w:sz w:val="18"/>
          <w:szCs w:val="18"/>
          <w:u w:val="single"/>
        </w:rPr>
        <w:t>此要求可由能进行双向通信的认可的移动卫星业务船舶地面站予以满足，如</w:t>
      </w:r>
      <w:r>
        <w:rPr>
          <w:color w:val="FF0000"/>
          <w:sz w:val="18"/>
          <w:szCs w:val="18"/>
          <w:u w:val="single"/>
        </w:rPr>
        <w:t xml:space="preserve"> Fleet-77</w:t>
      </w:r>
      <w:r>
        <w:rPr>
          <w:rFonts w:hint="eastAsia"/>
          <w:color w:val="FF0000"/>
          <w:sz w:val="18"/>
          <w:szCs w:val="18"/>
          <w:u w:val="single"/>
        </w:rPr>
        <w:t>（</w:t>
      </w:r>
      <w:r>
        <w:rPr>
          <w:color w:val="FF0000"/>
          <w:sz w:val="18"/>
          <w:szCs w:val="18"/>
          <w:u w:val="single"/>
        </w:rPr>
        <w:t>A.808(19)</w:t>
      </w:r>
      <w:r>
        <w:rPr>
          <w:rFonts w:hint="eastAsia"/>
          <w:color w:val="FF0000"/>
          <w:sz w:val="18"/>
          <w:szCs w:val="18"/>
          <w:u w:val="single"/>
        </w:rPr>
        <w:t>决议和</w:t>
      </w:r>
      <w:r>
        <w:rPr>
          <w:color w:val="FF0000"/>
          <w:sz w:val="18"/>
          <w:szCs w:val="18"/>
          <w:u w:val="single"/>
        </w:rPr>
        <w:t xml:space="preserve"> MSC.130(75)</w:t>
      </w:r>
      <w:r>
        <w:rPr>
          <w:rFonts w:hint="eastAsia"/>
          <w:color w:val="FF0000"/>
          <w:sz w:val="18"/>
          <w:szCs w:val="18"/>
          <w:u w:val="single"/>
        </w:rPr>
        <w:t>决议）或</w:t>
      </w:r>
      <w:r>
        <w:rPr>
          <w:color w:val="FF0000"/>
          <w:sz w:val="18"/>
          <w:szCs w:val="18"/>
          <w:u w:val="single"/>
        </w:rPr>
        <w:t xml:space="preserve"> Inmarsat-C</w:t>
      </w:r>
      <w:r>
        <w:rPr>
          <w:rFonts w:hint="eastAsia"/>
          <w:color w:val="FF0000"/>
          <w:sz w:val="18"/>
          <w:szCs w:val="18"/>
          <w:u w:val="single"/>
        </w:rPr>
        <w:t>（经修正的</w:t>
      </w:r>
      <w:r>
        <w:rPr>
          <w:color w:val="FF0000"/>
          <w:sz w:val="18"/>
          <w:szCs w:val="18"/>
          <w:u w:val="single"/>
        </w:rPr>
        <w:t xml:space="preserve"> A.807(19)</w:t>
      </w:r>
      <w:r>
        <w:rPr>
          <w:rFonts w:hint="eastAsia"/>
          <w:color w:val="FF0000"/>
          <w:sz w:val="18"/>
          <w:szCs w:val="18"/>
          <w:u w:val="single"/>
        </w:rPr>
        <w:t>决议）。除另有说明外，本脚注适用于对本章规定的认可的移动卫星业务船舶地面站的所有要求。</w:t>
      </w:r>
    </w:p>
  </w:footnote>
  <w:footnote w:id="2">
    <w:p>
      <w:pPr>
        <w:pStyle w:val="10"/>
        <w:rPr>
          <w:strike/>
        </w:rPr>
      </w:pPr>
      <w:r>
        <w:rPr>
          <w:rStyle w:val="16"/>
          <w:strike/>
          <w:color w:val="FF0000"/>
        </w:rPr>
        <w:footnoteRef/>
      </w:r>
      <w:r>
        <w:rPr>
          <w:rFonts w:hint="eastAsia"/>
          <w:strike/>
          <w:color w:val="FF0000"/>
        </w:rPr>
        <w:t>此要求可由能双向通信的</w:t>
      </w:r>
      <w:r>
        <w:rPr>
          <w:strike/>
          <w:color w:val="FF0000"/>
        </w:rPr>
        <w:t>INMARSAT</w:t>
      </w:r>
      <w:r>
        <w:rPr>
          <w:rFonts w:hint="eastAsia"/>
          <w:strike/>
          <w:color w:val="FF0000"/>
        </w:rPr>
        <w:t>船舶地面站来满足，如</w:t>
      </w:r>
      <w:r>
        <w:rPr>
          <w:strike/>
          <w:color w:val="FF0000"/>
        </w:rPr>
        <w:t>INMARSAT-A</w:t>
      </w:r>
      <w:r>
        <w:rPr>
          <w:rFonts w:hint="eastAsia"/>
          <w:strike/>
          <w:color w:val="FF0000"/>
        </w:rPr>
        <w:t>标准和</w:t>
      </w:r>
      <w:r>
        <w:rPr>
          <w:strike/>
          <w:color w:val="FF0000"/>
        </w:rPr>
        <w:t>INMARSAT-B</w:t>
      </w:r>
      <w:r>
        <w:rPr>
          <w:rFonts w:hint="eastAsia"/>
          <w:strike/>
          <w:color w:val="FF0000"/>
        </w:rPr>
        <w:t xml:space="preserve"> （</w:t>
      </w:r>
      <w:r>
        <w:rPr>
          <w:strike/>
          <w:color w:val="FF0000"/>
        </w:rPr>
        <w:t>A.808(19)</w:t>
      </w:r>
      <w:r>
        <w:rPr>
          <w:rFonts w:hint="eastAsia"/>
          <w:strike/>
          <w:color w:val="FF0000"/>
        </w:rPr>
        <w:t>决议）或</w:t>
      </w:r>
      <w:r>
        <w:rPr>
          <w:strike/>
          <w:color w:val="FF0000"/>
        </w:rPr>
        <w:t>INMARSAT-C</w:t>
      </w:r>
      <w:r>
        <w:rPr>
          <w:rFonts w:hint="eastAsia"/>
          <w:strike/>
          <w:color w:val="FF0000"/>
        </w:rPr>
        <w:t>（</w:t>
      </w:r>
      <w:r>
        <w:rPr>
          <w:strike/>
          <w:color w:val="FF0000"/>
        </w:rPr>
        <w:t>A.807(19)</w:t>
      </w:r>
      <w:r>
        <w:rPr>
          <w:rFonts w:hint="eastAsia"/>
          <w:strike/>
          <w:color w:val="FF0000"/>
        </w:rPr>
        <w:t>决议和</w:t>
      </w:r>
      <w:r>
        <w:rPr>
          <w:strike/>
          <w:color w:val="FF0000"/>
        </w:rPr>
        <w:t>MSC.68(68)</w:t>
      </w:r>
      <w:r>
        <w:rPr>
          <w:rFonts w:hint="eastAsia"/>
          <w:strike/>
          <w:color w:val="FF0000"/>
        </w:rPr>
        <w:t>决议附则</w:t>
      </w:r>
      <w:r>
        <w:rPr>
          <w:strike/>
          <w:color w:val="FF0000"/>
        </w:rPr>
        <w:t>4</w:t>
      </w:r>
      <w:r>
        <w:rPr>
          <w:rFonts w:hint="eastAsia"/>
          <w:strike/>
          <w:color w:val="FF0000"/>
        </w:rPr>
        <w:t>）船舶地面站。除非另有规定，本脚注适用于本章规定的</w:t>
      </w:r>
      <w:r>
        <w:rPr>
          <w:strike/>
          <w:color w:val="FF0000"/>
        </w:rPr>
        <w:t>INMARSAT</w:t>
      </w:r>
      <w:r>
        <w:rPr>
          <w:rFonts w:hint="eastAsia"/>
          <w:strike/>
          <w:color w:val="FF0000"/>
        </w:rPr>
        <w:t>船舶地面站的所有要求。</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2C2"/>
    <w:rsid w:val="00000CE3"/>
    <w:rsid w:val="00010B4E"/>
    <w:rsid w:val="00020725"/>
    <w:rsid w:val="0007093E"/>
    <w:rsid w:val="00075EF8"/>
    <w:rsid w:val="0009681F"/>
    <w:rsid w:val="000A1362"/>
    <w:rsid w:val="000A5231"/>
    <w:rsid w:val="000A61E2"/>
    <w:rsid w:val="000A6963"/>
    <w:rsid w:val="000A7C51"/>
    <w:rsid w:val="000B0051"/>
    <w:rsid w:val="000B21F8"/>
    <w:rsid w:val="000C75D5"/>
    <w:rsid w:val="000E16C1"/>
    <w:rsid w:val="000E63C0"/>
    <w:rsid w:val="000F4F2D"/>
    <w:rsid w:val="00103FF5"/>
    <w:rsid w:val="001127F0"/>
    <w:rsid w:val="00155C38"/>
    <w:rsid w:val="00162B7A"/>
    <w:rsid w:val="00162F50"/>
    <w:rsid w:val="00170DB8"/>
    <w:rsid w:val="00182DB0"/>
    <w:rsid w:val="00195CCC"/>
    <w:rsid w:val="001A1DA1"/>
    <w:rsid w:val="001B2B02"/>
    <w:rsid w:val="001B78F5"/>
    <w:rsid w:val="001C1497"/>
    <w:rsid w:val="001E4A0A"/>
    <w:rsid w:val="001F3CC2"/>
    <w:rsid w:val="002039CD"/>
    <w:rsid w:val="00207FA2"/>
    <w:rsid w:val="00211F72"/>
    <w:rsid w:val="002252A8"/>
    <w:rsid w:val="0022633D"/>
    <w:rsid w:val="0023200B"/>
    <w:rsid w:val="00234CB6"/>
    <w:rsid w:val="0023571B"/>
    <w:rsid w:val="00237484"/>
    <w:rsid w:val="00247AF1"/>
    <w:rsid w:val="002516E2"/>
    <w:rsid w:val="002530CC"/>
    <w:rsid w:val="00253806"/>
    <w:rsid w:val="00255FA7"/>
    <w:rsid w:val="0025650F"/>
    <w:rsid w:val="00264196"/>
    <w:rsid w:val="002669FB"/>
    <w:rsid w:val="002716C9"/>
    <w:rsid w:val="002729E0"/>
    <w:rsid w:val="00276B17"/>
    <w:rsid w:val="00280B87"/>
    <w:rsid w:val="00295326"/>
    <w:rsid w:val="002B0BCB"/>
    <w:rsid w:val="002B6FAC"/>
    <w:rsid w:val="002C47C6"/>
    <w:rsid w:val="002D3091"/>
    <w:rsid w:val="002E03E5"/>
    <w:rsid w:val="00307BB6"/>
    <w:rsid w:val="00317534"/>
    <w:rsid w:val="00320A0F"/>
    <w:rsid w:val="00335EBF"/>
    <w:rsid w:val="00345EEA"/>
    <w:rsid w:val="00350B9A"/>
    <w:rsid w:val="003618F3"/>
    <w:rsid w:val="003719F6"/>
    <w:rsid w:val="00371F24"/>
    <w:rsid w:val="00385051"/>
    <w:rsid w:val="00386B88"/>
    <w:rsid w:val="0039539C"/>
    <w:rsid w:val="003C27AF"/>
    <w:rsid w:val="003D27C7"/>
    <w:rsid w:val="003E5338"/>
    <w:rsid w:val="003F5B12"/>
    <w:rsid w:val="00480D1B"/>
    <w:rsid w:val="0049715C"/>
    <w:rsid w:val="004A5DCD"/>
    <w:rsid w:val="004C465A"/>
    <w:rsid w:val="004F1B5E"/>
    <w:rsid w:val="0051228D"/>
    <w:rsid w:val="00513C78"/>
    <w:rsid w:val="00515D04"/>
    <w:rsid w:val="005223A2"/>
    <w:rsid w:val="005233D2"/>
    <w:rsid w:val="00533A0C"/>
    <w:rsid w:val="00545376"/>
    <w:rsid w:val="005469F8"/>
    <w:rsid w:val="00562A60"/>
    <w:rsid w:val="005660A9"/>
    <w:rsid w:val="00577CA9"/>
    <w:rsid w:val="00592459"/>
    <w:rsid w:val="005A5D36"/>
    <w:rsid w:val="005B6513"/>
    <w:rsid w:val="005D464F"/>
    <w:rsid w:val="005E6DAD"/>
    <w:rsid w:val="005F03B8"/>
    <w:rsid w:val="0060268A"/>
    <w:rsid w:val="006051CE"/>
    <w:rsid w:val="00611136"/>
    <w:rsid w:val="0061203B"/>
    <w:rsid w:val="00647A36"/>
    <w:rsid w:val="0065455D"/>
    <w:rsid w:val="00664E72"/>
    <w:rsid w:val="00680AC2"/>
    <w:rsid w:val="006930A3"/>
    <w:rsid w:val="006A3905"/>
    <w:rsid w:val="006C4133"/>
    <w:rsid w:val="006D10D2"/>
    <w:rsid w:val="006D62FE"/>
    <w:rsid w:val="006E05D1"/>
    <w:rsid w:val="006E0D4D"/>
    <w:rsid w:val="00701DFE"/>
    <w:rsid w:val="007064F4"/>
    <w:rsid w:val="007101C0"/>
    <w:rsid w:val="00711D52"/>
    <w:rsid w:val="00715B9D"/>
    <w:rsid w:val="00721081"/>
    <w:rsid w:val="0072243F"/>
    <w:rsid w:val="007334B1"/>
    <w:rsid w:val="00741578"/>
    <w:rsid w:val="007442AA"/>
    <w:rsid w:val="007523F2"/>
    <w:rsid w:val="00762AD4"/>
    <w:rsid w:val="0078150E"/>
    <w:rsid w:val="00787814"/>
    <w:rsid w:val="007917B9"/>
    <w:rsid w:val="0079226E"/>
    <w:rsid w:val="00795437"/>
    <w:rsid w:val="007C7A8D"/>
    <w:rsid w:val="007E66E6"/>
    <w:rsid w:val="007E6AD3"/>
    <w:rsid w:val="007F60D1"/>
    <w:rsid w:val="00800F3B"/>
    <w:rsid w:val="00807AC8"/>
    <w:rsid w:val="00817976"/>
    <w:rsid w:val="00821B5E"/>
    <w:rsid w:val="0083162B"/>
    <w:rsid w:val="008346DE"/>
    <w:rsid w:val="00854316"/>
    <w:rsid w:val="00862F16"/>
    <w:rsid w:val="00890BAB"/>
    <w:rsid w:val="008D0B9A"/>
    <w:rsid w:val="008E18EF"/>
    <w:rsid w:val="0090772D"/>
    <w:rsid w:val="0094344E"/>
    <w:rsid w:val="00946E5D"/>
    <w:rsid w:val="00947155"/>
    <w:rsid w:val="0094766D"/>
    <w:rsid w:val="00947C20"/>
    <w:rsid w:val="00952933"/>
    <w:rsid w:val="00954DD5"/>
    <w:rsid w:val="00957391"/>
    <w:rsid w:val="00962DEF"/>
    <w:rsid w:val="00965500"/>
    <w:rsid w:val="009727A3"/>
    <w:rsid w:val="0097528F"/>
    <w:rsid w:val="00981452"/>
    <w:rsid w:val="00981D22"/>
    <w:rsid w:val="00982CAD"/>
    <w:rsid w:val="00991C04"/>
    <w:rsid w:val="009977E8"/>
    <w:rsid w:val="009A5093"/>
    <w:rsid w:val="009C1FB4"/>
    <w:rsid w:val="009E22A9"/>
    <w:rsid w:val="009F10B2"/>
    <w:rsid w:val="009F3E88"/>
    <w:rsid w:val="009F6A80"/>
    <w:rsid w:val="00A46919"/>
    <w:rsid w:val="00A46B99"/>
    <w:rsid w:val="00A52BD9"/>
    <w:rsid w:val="00A62F64"/>
    <w:rsid w:val="00A732BA"/>
    <w:rsid w:val="00A9425F"/>
    <w:rsid w:val="00A96C73"/>
    <w:rsid w:val="00AA1161"/>
    <w:rsid w:val="00AA1C14"/>
    <w:rsid w:val="00AB0BC1"/>
    <w:rsid w:val="00AB2783"/>
    <w:rsid w:val="00AC1C20"/>
    <w:rsid w:val="00AE1A43"/>
    <w:rsid w:val="00AE41CE"/>
    <w:rsid w:val="00AE59A8"/>
    <w:rsid w:val="00AF43F8"/>
    <w:rsid w:val="00AF6235"/>
    <w:rsid w:val="00AF7224"/>
    <w:rsid w:val="00B233DC"/>
    <w:rsid w:val="00B2479E"/>
    <w:rsid w:val="00B4503B"/>
    <w:rsid w:val="00B5501E"/>
    <w:rsid w:val="00B656E8"/>
    <w:rsid w:val="00B678D0"/>
    <w:rsid w:val="00B8685F"/>
    <w:rsid w:val="00B90ABE"/>
    <w:rsid w:val="00B93786"/>
    <w:rsid w:val="00B94DC7"/>
    <w:rsid w:val="00B972C2"/>
    <w:rsid w:val="00BA3526"/>
    <w:rsid w:val="00BA5DEF"/>
    <w:rsid w:val="00BC4F68"/>
    <w:rsid w:val="00BC6C5D"/>
    <w:rsid w:val="00BD059D"/>
    <w:rsid w:val="00BE00D0"/>
    <w:rsid w:val="00BF1403"/>
    <w:rsid w:val="00BF2B6B"/>
    <w:rsid w:val="00BF7C9F"/>
    <w:rsid w:val="00C003B8"/>
    <w:rsid w:val="00C07934"/>
    <w:rsid w:val="00C07F68"/>
    <w:rsid w:val="00C26206"/>
    <w:rsid w:val="00C468ED"/>
    <w:rsid w:val="00C5065B"/>
    <w:rsid w:val="00C51786"/>
    <w:rsid w:val="00C66CFF"/>
    <w:rsid w:val="00C7130A"/>
    <w:rsid w:val="00C7298F"/>
    <w:rsid w:val="00C7501D"/>
    <w:rsid w:val="00C835BB"/>
    <w:rsid w:val="00C864ED"/>
    <w:rsid w:val="00C86AD0"/>
    <w:rsid w:val="00C92AFF"/>
    <w:rsid w:val="00C94F27"/>
    <w:rsid w:val="00CB0099"/>
    <w:rsid w:val="00CC5D4D"/>
    <w:rsid w:val="00CC7E12"/>
    <w:rsid w:val="00CD0871"/>
    <w:rsid w:val="00CD4DF3"/>
    <w:rsid w:val="00CE5E4D"/>
    <w:rsid w:val="00CF5507"/>
    <w:rsid w:val="00D427FE"/>
    <w:rsid w:val="00D54899"/>
    <w:rsid w:val="00D64399"/>
    <w:rsid w:val="00D650E5"/>
    <w:rsid w:val="00D65DEE"/>
    <w:rsid w:val="00D6677C"/>
    <w:rsid w:val="00D6720A"/>
    <w:rsid w:val="00DC5638"/>
    <w:rsid w:val="00DE238D"/>
    <w:rsid w:val="00DF12C4"/>
    <w:rsid w:val="00DF47B0"/>
    <w:rsid w:val="00DF59F9"/>
    <w:rsid w:val="00DF66E0"/>
    <w:rsid w:val="00E01CB9"/>
    <w:rsid w:val="00E02E0E"/>
    <w:rsid w:val="00E1064F"/>
    <w:rsid w:val="00E15E85"/>
    <w:rsid w:val="00E204BE"/>
    <w:rsid w:val="00E27E0E"/>
    <w:rsid w:val="00E41A6A"/>
    <w:rsid w:val="00E43AC2"/>
    <w:rsid w:val="00E52AD0"/>
    <w:rsid w:val="00E77BF5"/>
    <w:rsid w:val="00E87879"/>
    <w:rsid w:val="00E940F7"/>
    <w:rsid w:val="00E96048"/>
    <w:rsid w:val="00EA21B3"/>
    <w:rsid w:val="00EB0105"/>
    <w:rsid w:val="00EB219C"/>
    <w:rsid w:val="00EB4A51"/>
    <w:rsid w:val="00EB4F52"/>
    <w:rsid w:val="00EC1733"/>
    <w:rsid w:val="00EC178A"/>
    <w:rsid w:val="00EC4DFF"/>
    <w:rsid w:val="00ED2806"/>
    <w:rsid w:val="00ED7665"/>
    <w:rsid w:val="00EF35DE"/>
    <w:rsid w:val="00F05853"/>
    <w:rsid w:val="00F21D9A"/>
    <w:rsid w:val="00F37014"/>
    <w:rsid w:val="00F3763D"/>
    <w:rsid w:val="00F46BCB"/>
    <w:rsid w:val="00F56BF9"/>
    <w:rsid w:val="00F63025"/>
    <w:rsid w:val="00F63C0C"/>
    <w:rsid w:val="00F66960"/>
    <w:rsid w:val="00F73D07"/>
    <w:rsid w:val="00F9020F"/>
    <w:rsid w:val="00F90228"/>
    <w:rsid w:val="00F93745"/>
    <w:rsid w:val="00FB5ACE"/>
    <w:rsid w:val="00FD330A"/>
    <w:rsid w:val="00FD6CE1"/>
    <w:rsid w:val="00FE0A7F"/>
    <w:rsid w:val="00FE7E42"/>
    <w:rsid w:val="00FF2B01"/>
    <w:rsid w:val="00FF5418"/>
    <w:rsid w:val="012F672E"/>
    <w:rsid w:val="0FFB602E"/>
    <w:rsid w:val="172F64C0"/>
    <w:rsid w:val="18232E50"/>
    <w:rsid w:val="1C1C0F06"/>
    <w:rsid w:val="1D332723"/>
    <w:rsid w:val="1D69416B"/>
    <w:rsid w:val="202C5202"/>
    <w:rsid w:val="28160F9A"/>
    <w:rsid w:val="2B7D585B"/>
    <w:rsid w:val="3508249B"/>
    <w:rsid w:val="3F3E3C53"/>
    <w:rsid w:val="3FA803F9"/>
    <w:rsid w:val="47DE5B2B"/>
    <w:rsid w:val="4A9B44BD"/>
    <w:rsid w:val="4CD70FB8"/>
    <w:rsid w:val="4E1A3B33"/>
    <w:rsid w:val="59C06F83"/>
    <w:rsid w:val="5B151033"/>
    <w:rsid w:val="618A5F27"/>
    <w:rsid w:val="62807F87"/>
    <w:rsid w:val="63FD5413"/>
    <w:rsid w:val="70512559"/>
    <w:rsid w:val="75055EE1"/>
    <w:rsid w:val="770E08DC"/>
    <w:rsid w:val="792F39A6"/>
    <w:rsid w:val="7A964823"/>
    <w:rsid w:val="7B2D035B"/>
    <w:rsid w:val="7BC12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Balloon Text"/>
    <w:basedOn w:val="1"/>
    <w:link w:val="25"/>
    <w:semiHidden/>
    <w:unhideWhenUsed/>
    <w:qFormat/>
    <w:uiPriority w:val="99"/>
    <w:rPr>
      <w:sz w:val="18"/>
      <w:szCs w:val="18"/>
    </w:rPr>
  </w:style>
  <w:style w:type="paragraph" w:styleId="8">
    <w:name w:val="footer"/>
    <w:basedOn w:val="1"/>
    <w:link w:val="23"/>
    <w:unhideWhenUsed/>
    <w:qFormat/>
    <w:uiPriority w:val="99"/>
    <w:pPr>
      <w:tabs>
        <w:tab w:val="center" w:pos="4153"/>
        <w:tab w:val="right" w:pos="8306"/>
      </w:tabs>
      <w:snapToGrid w:val="0"/>
      <w:jc w:val="left"/>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99"/>
    <w:pPr>
      <w:snapToGrid w:val="0"/>
      <w:jc w:val="left"/>
    </w:pPr>
    <w:rPr>
      <w:sz w:val="18"/>
      <w:szCs w:val="18"/>
    </w:rPr>
  </w:style>
  <w:style w:type="paragraph" w:styleId="11">
    <w:name w:val="toc 2"/>
    <w:basedOn w:val="1"/>
    <w:next w:val="1"/>
    <w:unhideWhenUsed/>
    <w:qFormat/>
    <w:uiPriority w:val="39"/>
    <w:pPr>
      <w:ind w:left="420" w:leftChars="200"/>
    </w:p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styleId="16">
    <w:name w:val="footnote reference"/>
    <w:qFormat/>
    <w:uiPriority w:val="99"/>
    <w:rPr>
      <w:vertAlign w:val="superscript"/>
    </w:rPr>
  </w:style>
  <w:style w:type="character" w:customStyle="1" w:styleId="17">
    <w:name w:val="脚注文本 Char"/>
    <w:basedOn w:val="13"/>
    <w:link w:val="10"/>
    <w:qFormat/>
    <w:uiPriority w:val="99"/>
    <w:rPr>
      <w:rFonts w:ascii="Calibri" w:hAnsi="Calibri" w:eastAsia="宋体" w:cs="Times New Roman"/>
      <w:sz w:val="18"/>
      <w:szCs w:val="18"/>
    </w:rPr>
  </w:style>
  <w:style w:type="character" w:customStyle="1" w:styleId="18">
    <w:name w:val="标题 2 Char"/>
    <w:basedOn w:val="13"/>
    <w:link w:val="3"/>
    <w:qFormat/>
    <w:uiPriority w:val="9"/>
    <w:rPr>
      <w:rFonts w:asciiTheme="majorHAnsi" w:hAnsiTheme="majorHAnsi" w:eastAsiaTheme="majorEastAsia" w:cstheme="majorBidi"/>
      <w:b/>
      <w:bCs/>
      <w:sz w:val="32"/>
      <w:szCs w:val="32"/>
    </w:rPr>
  </w:style>
  <w:style w:type="character" w:customStyle="1" w:styleId="19">
    <w:name w:val="标题 1 Char"/>
    <w:basedOn w:val="13"/>
    <w:link w:val="2"/>
    <w:qFormat/>
    <w:uiPriority w:val="9"/>
    <w:rPr>
      <w:rFonts w:ascii="Calibri" w:hAnsi="Calibri" w:eastAsia="宋体" w:cs="Times New Roman"/>
      <w:b/>
      <w:bCs/>
      <w:kern w:val="44"/>
      <w:sz w:val="44"/>
      <w:szCs w:val="44"/>
    </w:rPr>
  </w:style>
  <w:style w:type="paragraph" w:customStyle="1" w:styleId="2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1">
    <w:name w:val="标题 3 Char"/>
    <w:basedOn w:val="13"/>
    <w:link w:val="4"/>
    <w:qFormat/>
    <w:uiPriority w:val="9"/>
    <w:rPr>
      <w:rFonts w:ascii="Calibri" w:hAnsi="Calibri" w:eastAsia="宋体" w:cs="Times New Roman"/>
      <w:b/>
      <w:bCs/>
      <w:sz w:val="32"/>
      <w:szCs w:val="32"/>
    </w:rPr>
  </w:style>
  <w:style w:type="character" w:customStyle="1" w:styleId="22">
    <w:name w:val="页眉 Char"/>
    <w:basedOn w:val="13"/>
    <w:link w:val="9"/>
    <w:qFormat/>
    <w:uiPriority w:val="99"/>
    <w:rPr>
      <w:rFonts w:ascii="Calibri" w:hAnsi="Calibri"/>
      <w:kern w:val="2"/>
      <w:sz w:val="18"/>
      <w:szCs w:val="18"/>
    </w:rPr>
  </w:style>
  <w:style w:type="character" w:customStyle="1" w:styleId="23">
    <w:name w:val="页脚 Char"/>
    <w:basedOn w:val="13"/>
    <w:link w:val="8"/>
    <w:uiPriority w:val="99"/>
    <w:rPr>
      <w:rFonts w:ascii="Calibri" w:hAnsi="Calibri"/>
      <w:kern w:val="2"/>
      <w:sz w:val="18"/>
      <w:szCs w:val="18"/>
    </w:rPr>
  </w:style>
  <w:style w:type="paragraph" w:customStyle="1" w:styleId="24">
    <w:name w:val="Revision"/>
    <w:hidden/>
    <w:unhideWhenUsed/>
    <w:qFormat/>
    <w:uiPriority w:val="99"/>
    <w:rPr>
      <w:rFonts w:ascii="Calibri" w:hAnsi="Calibri" w:eastAsia="宋体" w:cs="Times New Roman"/>
      <w:kern w:val="2"/>
      <w:sz w:val="21"/>
      <w:szCs w:val="24"/>
      <w:lang w:val="en-US" w:eastAsia="zh-CN" w:bidi="ar-SA"/>
    </w:rPr>
  </w:style>
  <w:style w:type="character" w:customStyle="1" w:styleId="25">
    <w:name w:val="批注框文本 Char"/>
    <w:basedOn w:val="13"/>
    <w:link w:val="7"/>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B32EC-944E-4C17-A8A4-23C933146232}">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460</Words>
  <Characters>2623</Characters>
  <Lines>21</Lines>
  <Paragraphs>6</Paragraphs>
  <TotalTime>0</TotalTime>
  <ScaleCrop>false</ScaleCrop>
  <LinksUpToDate>false</LinksUpToDate>
  <CharactersWithSpaces>3077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2022-06-14T00:16:00Z</dcterms:created>
  <dc:creator>王方园</dc:creator>
  <cp:lastModifiedBy>Bichun</cp:lastModifiedBy>
  <dcterms:modified xsi:type="dcterms:W3CDTF">2022-07-05T10:12:06Z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42AAF882C6454F97B2D317EF2372CE21</vt:lpwstr>
  </property>
</Properties>
</file>